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9B93" w14:textId="77777777" w:rsidR="00687F7B" w:rsidRPr="005C5850" w:rsidRDefault="00687F7B" w:rsidP="00687F7B">
      <w:pPr>
        <w:jc w:val="center"/>
        <w:rPr>
          <w:rFonts w:ascii="Times New Roman" w:eastAsia="Montserrat" w:hAnsi="Times New Roman" w:cs="Times New Roman"/>
          <w:b/>
          <w:color w:val="222222"/>
          <w:sz w:val="28"/>
          <w:szCs w:val="28"/>
          <w:highlight w:val="white"/>
        </w:rPr>
      </w:pPr>
      <w:r w:rsidRPr="005C5850">
        <w:rPr>
          <w:rFonts w:ascii="Times New Roman" w:eastAsia="Montserrat" w:hAnsi="Times New Roman" w:cs="Times New Roman"/>
          <w:b/>
          <w:color w:val="222222"/>
          <w:sz w:val="28"/>
          <w:szCs w:val="28"/>
          <w:highlight w:val="white"/>
        </w:rPr>
        <w:t xml:space="preserve">Prince Mahidol Award Conference (PMAC) 2025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87F7B" w:rsidRPr="005C5850" w14:paraId="0B27B3C5" w14:textId="77777777" w:rsidTr="00A81979">
        <w:tc>
          <w:tcPr>
            <w:tcW w:w="9360" w:type="dxa"/>
            <w:shd w:val="clear" w:color="auto" w:fill="auto"/>
            <w:tcMar>
              <w:top w:w="100" w:type="dxa"/>
              <w:left w:w="100" w:type="dxa"/>
              <w:bottom w:w="100" w:type="dxa"/>
              <w:right w:w="100" w:type="dxa"/>
            </w:tcMar>
          </w:tcPr>
          <w:p w14:paraId="0F874706" w14:textId="015C856F" w:rsidR="00687F7B" w:rsidRPr="00493520" w:rsidRDefault="00687F7B" w:rsidP="00A81979">
            <w:pPr>
              <w:rPr>
                <w:rFonts w:ascii="Times New Roman" w:eastAsia="Montserrat" w:hAnsi="Times New Roman" w:cs="Times New Roman"/>
                <w:color w:val="222222"/>
                <w:szCs w:val="24"/>
                <w:highlight w:val="white"/>
              </w:rPr>
            </w:pPr>
            <w:r w:rsidRPr="00493520">
              <w:rPr>
                <w:rFonts w:ascii="Times New Roman" w:eastAsia="Montserrat" w:hAnsi="Times New Roman" w:cs="Times New Roman"/>
                <w:b/>
                <w:color w:val="222222"/>
                <w:szCs w:val="24"/>
                <w:highlight w:val="white"/>
              </w:rPr>
              <w:t>Session:</w:t>
            </w:r>
            <w:r w:rsidRPr="00493520">
              <w:rPr>
                <w:rFonts w:ascii="Times New Roman" w:eastAsia="Montserrat" w:hAnsi="Times New Roman" w:cs="Times New Roman"/>
                <w:color w:val="222222"/>
                <w:szCs w:val="24"/>
                <w:highlight w:val="white"/>
              </w:rPr>
              <w:t xml:space="preserve"> </w:t>
            </w:r>
            <w:r w:rsidR="00D962BA">
              <w:rPr>
                <w:rFonts w:ascii="Times New Roman" w:eastAsia="Montserrat" w:hAnsi="Times New Roman" w:cs="Times New Roman"/>
                <w:color w:val="222222"/>
                <w:szCs w:val="24"/>
                <w:highlight w:val="white"/>
              </w:rPr>
              <w:t>PS 3</w:t>
            </w:r>
            <w:r w:rsidR="00AC4157">
              <w:rPr>
                <w:rFonts w:ascii="Times New Roman" w:eastAsia="Montserrat" w:hAnsi="Times New Roman" w:cs="Times New Roman"/>
                <w:color w:val="222222"/>
                <w:szCs w:val="24"/>
                <w:highlight w:val="white"/>
              </w:rPr>
              <w:t xml:space="preserve">.2 – Strengthening </w:t>
            </w:r>
            <w:r w:rsidRPr="00493520">
              <w:rPr>
                <w:rFonts w:ascii="Times New Roman" w:eastAsia="Montserrat" w:hAnsi="Times New Roman" w:cs="Times New Roman"/>
                <w:color w:val="222222"/>
                <w:szCs w:val="24"/>
                <w:highlight w:val="white"/>
              </w:rPr>
              <w:t>Health Data Governance</w:t>
            </w:r>
          </w:p>
          <w:p w14:paraId="53BC64F4" w14:textId="1250DE60" w:rsidR="00687F7B" w:rsidRPr="00493520" w:rsidRDefault="00687F7B" w:rsidP="00A81979">
            <w:pPr>
              <w:rPr>
                <w:rFonts w:ascii="Times New Roman" w:eastAsia="Montserrat" w:hAnsi="Times New Roman" w:cs="Times New Roman"/>
                <w:color w:val="222222"/>
                <w:szCs w:val="24"/>
                <w:highlight w:val="white"/>
              </w:rPr>
            </w:pPr>
            <w:r w:rsidRPr="00493520">
              <w:rPr>
                <w:rFonts w:ascii="Times New Roman" w:eastAsia="Montserrat" w:hAnsi="Times New Roman" w:cs="Times New Roman"/>
                <w:b/>
                <w:color w:val="222222"/>
                <w:szCs w:val="24"/>
                <w:highlight w:val="white"/>
              </w:rPr>
              <w:t>Date:</w:t>
            </w:r>
            <w:r w:rsidRPr="00493520">
              <w:rPr>
                <w:rFonts w:ascii="Times New Roman" w:eastAsia="Montserrat" w:hAnsi="Times New Roman" w:cs="Times New Roman"/>
                <w:color w:val="222222"/>
                <w:szCs w:val="24"/>
                <w:highlight w:val="white"/>
              </w:rPr>
              <w:t xml:space="preserve"> Saturday 1 February 2025</w:t>
            </w:r>
            <w:r w:rsidR="0068747C">
              <w:rPr>
                <w:rFonts w:ascii="Times New Roman" w:eastAsia="Montserrat" w:hAnsi="Times New Roman" w:cs="Times New Roman"/>
                <w:color w:val="222222"/>
                <w:szCs w:val="24"/>
                <w:highlight w:val="white"/>
              </w:rPr>
              <w:t xml:space="preserve">;    </w:t>
            </w:r>
            <w:r w:rsidRPr="00493520">
              <w:rPr>
                <w:rFonts w:ascii="Times New Roman" w:eastAsia="Montserrat" w:hAnsi="Times New Roman" w:cs="Times New Roman"/>
                <w:color w:val="222222"/>
                <w:szCs w:val="24"/>
                <w:highlight w:val="white"/>
              </w:rPr>
              <w:t xml:space="preserve"> Time 15:00 - 17:00 hrs</w:t>
            </w:r>
          </w:p>
          <w:p w14:paraId="7D79D22F" w14:textId="53A0E135" w:rsidR="00687F7B" w:rsidRPr="00493520" w:rsidRDefault="00FA6BA0" w:rsidP="00A81979">
            <w:pPr>
              <w:rPr>
                <w:rFonts w:ascii="Times New Roman" w:eastAsia="Montserrat" w:hAnsi="Times New Roman" w:cs="Times New Roman"/>
                <w:color w:val="222222"/>
                <w:szCs w:val="24"/>
                <w:highlight w:val="white"/>
              </w:rPr>
            </w:pPr>
            <w:r>
              <w:rPr>
                <w:rFonts w:ascii="Times New Roman" w:eastAsia="Montserrat" w:hAnsi="Times New Roman" w:cs="Times New Roman"/>
                <w:b/>
                <w:color w:val="222222"/>
                <w:szCs w:val="24"/>
                <w:highlight w:val="white"/>
              </w:rPr>
              <w:t>Author</w:t>
            </w:r>
            <w:r w:rsidR="00FB54C3">
              <w:rPr>
                <w:rFonts w:ascii="Times New Roman" w:eastAsia="Montserrat" w:hAnsi="Times New Roman" w:cs="Times New Roman"/>
                <w:b/>
                <w:color w:val="222222"/>
                <w:szCs w:val="24"/>
                <w:highlight w:val="white"/>
              </w:rPr>
              <w:t xml:space="preserve">(s)/ </w:t>
            </w:r>
            <w:r w:rsidR="00687F7B" w:rsidRPr="00493520">
              <w:rPr>
                <w:rFonts w:ascii="Times New Roman" w:eastAsia="Montserrat" w:hAnsi="Times New Roman" w:cs="Times New Roman"/>
                <w:b/>
                <w:color w:val="222222"/>
                <w:szCs w:val="24"/>
                <w:highlight w:val="white"/>
              </w:rPr>
              <w:t>Speaker(s):</w:t>
            </w:r>
            <w:r w:rsidR="00687F7B" w:rsidRPr="00493520">
              <w:rPr>
                <w:rFonts w:ascii="Times New Roman" w:eastAsia="Montserrat" w:hAnsi="Times New Roman" w:cs="Times New Roman"/>
                <w:color w:val="222222"/>
                <w:szCs w:val="24"/>
                <w:highlight w:val="white"/>
              </w:rPr>
              <w:t xml:space="preserve"> Nirmal Rijal and Mrinal Kanti Tripura</w:t>
            </w:r>
          </w:p>
          <w:p w14:paraId="45814458" w14:textId="03928A9D" w:rsidR="00687F7B" w:rsidRPr="005C5850" w:rsidRDefault="00687F7B" w:rsidP="00A81979">
            <w:pPr>
              <w:rPr>
                <w:rFonts w:ascii="Times New Roman" w:eastAsia="Montserrat" w:hAnsi="Times New Roman" w:cs="Times New Roman"/>
                <w:b/>
                <w:color w:val="222222"/>
                <w:sz w:val="28"/>
                <w:szCs w:val="28"/>
                <w:highlight w:val="white"/>
              </w:rPr>
            </w:pPr>
            <w:r w:rsidRPr="00493520">
              <w:rPr>
                <w:rFonts w:ascii="Times New Roman" w:eastAsia="Montserrat" w:hAnsi="Times New Roman" w:cs="Times New Roman"/>
                <w:b/>
                <w:color w:val="222222"/>
                <w:szCs w:val="24"/>
                <w:highlight w:val="white"/>
              </w:rPr>
              <w:t>Background paper on the topic</w:t>
            </w:r>
          </w:p>
        </w:tc>
      </w:tr>
    </w:tbl>
    <w:p w14:paraId="3488E202" w14:textId="77777777" w:rsidR="00415C63" w:rsidRDefault="00415C63" w:rsidP="00687F7B">
      <w:pPr>
        <w:widowControl w:val="0"/>
        <w:spacing w:line="240" w:lineRule="auto"/>
        <w:jc w:val="center"/>
        <w:rPr>
          <w:rFonts w:ascii="Times New Roman" w:eastAsia="Montserrat" w:hAnsi="Times New Roman" w:cs="Times New Roman"/>
          <w:b/>
          <w:color w:val="111111"/>
          <w:sz w:val="28"/>
          <w:szCs w:val="28"/>
        </w:rPr>
      </w:pPr>
    </w:p>
    <w:p w14:paraId="5EBFFA0D" w14:textId="375AE17A" w:rsidR="00687F7B" w:rsidRPr="005C5850" w:rsidRDefault="00687F7B" w:rsidP="00687F7B">
      <w:pPr>
        <w:widowControl w:val="0"/>
        <w:spacing w:line="240" w:lineRule="auto"/>
        <w:jc w:val="center"/>
        <w:rPr>
          <w:rFonts w:ascii="Times New Roman" w:eastAsia="Montserrat" w:hAnsi="Times New Roman" w:cs="Times New Roman"/>
          <w:b/>
          <w:color w:val="111111"/>
          <w:sz w:val="28"/>
          <w:szCs w:val="28"/>
        </w:rPr>
      </w:pPr>
      <w:r w:rsidRPr="005C5850">
        <w:rPr>
          <w:rFonts w:ascii="Times New Roman" w:eastAsia="Montserrat" w:hAnsi="Times New Roman" w:cs="Times New Roman"/>
          <w:b/>
          <w:color w:val="111111"/>
          <w:sz w:val="28"/>
          <w:szCs w:val="28"/>
        </w:rPr>
        <w:t>Health Data Governance</w:t>
      </w:r>
    </w:p>
    <w:p w14:paraId="05E8AD7A" w14:textId="1DBC1F09" w:rsidR="00687F7B" w:rsidRPr="00493520" w:rsidRDefault="00687F7B" w:rsidP="00687F7B">
      <w:pPr>
        <w:widowControl w:val="0"/>
        <w:spacing w:after="200" w:line="240" w:lineRule="auto"/>
        <w:rPr>
          <w:rFonts w:ascii="Times New Roman" w:eastAsia="Montserrat" w:hAnsi="Times New Roman" w:cs="Times New Roman"/>
          <w:b/>
          <w:i/>
          <w:color w:val="1155CC"/>
          <w:szCs w:val="24"/>
        </w:rPr>
      </w:pPr>
      <w:r w:rsidRPr="00493520">
        <w:rPr>
          <w:rFonts w:ascii="Times New Roman" w:eastAsia="Montserrat" w:hAnsi="Times New Roman" w:cs="Times New Roman"/>
          <w:b/>
          <w:i/>
          <w:color w:val="1155CC"/>
          <w:szCs w:val="24"/>
        </w:rPr>
        <w:t xml:space="preserve">Data Governance for </w:t>
      </w:r>
      <w:r w:rsidR="00057102">
        <w:rPr>
          <w:rFonts w:ascii="Times New Roman" w:eastAsia="Montserrat" w:hAnsi="Times New Roman" w:cs="Times New Roman"/>
          <w:b/>
          <w:i/>
          <w:color w:val="1155CC"/>
          <w:szCs w:val="24"/>
        </w:rPr>
        <w:t>Indigenous</w:t>
      </w:r>
      <w:r w:rsidRPr="00493520">
        <w:rPr>
          <w:rFonts w:ascii="Times New Roman" w:eastAsia="Montserrat" w:hAnsi="Times New Roman" w:cs="Times New Roman"/>
          <w:b/>
          <w:i/>
          <w:color w:val="1155CC"/>
          <w:szCs w:val="24"/>
        </w:rPr>
        <w:t xml:space="preserve"> Data Sovereignty in South Asia</w:t>
      </w:r>
    </w:p>
    <w:p w14:paraId="6EEA78FD" w14:textId="046A3404" w:rsidR="001A3860" w:rsidRPr="001A3860" w:rsidRDefault="001A3860" w:rsidP="00314B11">
      <w:pPr>
        <w:spacing w:after="120" w:line="240" w:lineRule="auto"/>
        <w:jc w:val="both"/>
        <w:rPr>
          <w:rFonts w:ascii="Times New Roman" w:eastAsia="Times New Roman" w:hAnsi="Times New Roman" w:cs="Times New Roman"/>
          <w:b/>
          <w:bCs/>
          <w:color w:val="111111"/>
          <w:kern w:val="0"/>
          <w:szCs w:val="24"/>
          <w14:ligatures w14:val="none"/>
        </w:rPr>
      </w:pPr>
      <w:r w:rsidRPr="001A3860">
        <w:rPr>
          <w:rFonts w:ascii="Times New Roman" w:eastAsia="Times New Roman" w:hAnsi="Times New Roman" w:cs="Times New Roman"/>
          <w:b/>
          <w:bCs/>
          <w:color w:val="111111"/>
          <w:kern w:val="0"/>
          <w:szCs w:val="24"/>
          <w14:ligatures w14:val="none"/>
        </w:rPr>
        <w:t>Background</w:t>
      </w:r>
      <w:r>
        <w:rPr>
          <w:rFonts w:ascii="Times New Roman" w:eastAsia="Times New Roman" w:hAnsi="Times New Roman" w:cs="Times New Roman"/>
          <w:b/>
          <w:bCs/>
          <w:color w:val="111111"/>
          <w:kern w:val="0"/>
          <w:szCs w:val="24"/>
          <w14:ligatures w14:val="none"/>
        </w:rPr>
        <w:t xml:space="preserve"> and Context</w:t>
      </w:r>
    </w:p>
    <w:p w14:paraId="1163E4D5" w14:textId="2664E1F7" w:rsidR="000872F1" w:rsidRDefault="000872F1" w:rsidP="00314B11">
      <w:pPr>
        <w:spacing w:after="120" w:line="240" w:lineRule="auto"/>
        <w:jc w:val="both"/>
        <w:rPr>
          <w:rFonts w:ascii="Times New Roman" w:eastAsia="Times New Roman" w:hAnsi="Times New Roman" w:cs="Times New Roman"/>
          <w:color w:val="111111"/>
          <w:kern w:val="0"/>
          <w:szCs w:val="24"/>
          <w14:ligatures w14:val="none"/>
        </w:rPr>
      </w:pPr>
      <w:r>
        <w:rPr>
          <w:rFonts w:ascii="Times New Roman" w:eastAsia="Times New Roman" w:hAnsi="Times New Roman" w:cs="Times New Roman"/>
          <w:color w:val="111111"/>
          <w:kern w:val="0"/>
          <w:szCs w:val="24"/>
          <w14:ligatures w14:val="none"/>
        </w:rPr>
        <w:t xml:space="preserve">This paper draws from </w:t>
      </w:r>
      <w:r w:rsidR="00CB06FC">
        <w:rPr>
          <w:rFonts w:ascii="Times New Roman" w:eastAsia="Times New Roman" w:hAnsi="Times New Roman" w:cs="Times New Roman"/>
          <w:color w:val="111111"/>
          <w:kern w:val="0"/>
          <w:szCs w:val="24"/>
          <w14:ligatures w14:val="none"/>
        </w:rPr>
        <w:t xml:space="preserve">and is inspired by </w:t>
      </w:r>
      <w:r>
        <w:rPr>
          <w:rFonts w:ascii="Times New Roman" w:eastAsia="Times New Roman" w:hAnsi="Times New Roman" w:cs="Times New Roman"/>
          <w:color w:val="111111"/>
          <w:kern w:val="0"/>
          <w:szCs w:val="24"/>
          <w14:ligatures w14:val="none"/>
        </w:rPr>
        <w:t xml:space="preserve">studies undertaken </w:t>
      </w:r>
      <w:r w:rsidR="00D84BBB">
        <w:rPr>
          <w:rFonts w:ascii="Times New Roman" w:eastAsia="Times New Roman" w:hAnsi="Times New Roman" w:cs="Times New Roman"/>
          <w:color w:val="111111"/>
          <w:kern w:val="0"/>
          <w:szCs w:val="24"/>
          <w14:ligatures w14:val="none"/>
        </w:rPr>
        <w:t xml:space="preserve">in Nepal </w:t>
      </w:r>
      <w:r>
        <w:rPr>
          <w:rFonts w:ascii="Times New Roman" w:eastAsia="Times New Roman" w:hAnsi="Times New Roman" w:cs="Times New Roman"/>
          <w:color w:val="111111"/>
          <w:kern w:val="0"/>
          <w:szCs w:val="24"/>
          <w14:ligatures w14:val="none"/>
        </w:rPr>
        <w:t>by the first author</w:t>
      </w:r>
      <w:r w:rsidR="00207352">
        <w:rPr>
          <w:rFonts w:ascii="Times New Roman" w:eastAsia="Times New Roman" w:hAnsi="Times New Roman" w:cs="Times New Roman"/>
          <w:color w:val="111111"/>
          <w:kern w:val="0"/>
          <w:szCs w:val="24"/>
          <w14:ligatures w14:val="none"/>
        </w:rPr>
        <w:t xml:space="preserve"> along </w:t>
      </w:r>
      <w:r>
        <w:rPr>
          <w:rFonts w:ascii="Times New Roman" w:eastAsia="Times New Roman" w:hAnsi="Times New Roman" w:cs="Times New Roman"/>
          <w:color w:val="111111"/>
          <w:kern w:val="0"/>
          <w:szCs w:val="24"/>
          <w14:ligatures w14:val="none"/>
        </w:rPr>
        <w:t xml:space="preserve">with co-researchers in Bangladesh, India and Sri Lanka (2021-2023) to explore, among other things, the participation of </w:t>
      </w:r>
      <w:r w:rsidRPr="000C5A1C">
        <w:rPr>
          <w:rFonts w:ascii="Times New Roman" w:hAnsi="Times New Roman" w:cs="Times New Roman"/>
          <w:szCs w:val="22"/>
        </w:rPr>
        <w:t xml:space="preserve">digital </w:t>
      </w:r>
      <w:r>
        <w:rPr>
          <w:rFonts w:ascii="Times New Roman" w:hAnsi="Times New Roman" w:cs="Times New Roman"/>
          <w:szCs w:val="22"/>
        </w:rPr>
        <w:t xml:space="preserve">ecosystem stakeholders in </w:t>
      </w:r>
      <w:r w:rsidRPr="000C5A1C">
        <w:rPr>
          <w:rFonts w:ascii="Times New Roman" w:hAnsi="Times New Roman" w:cs="Times New Roman"/>
          <w:szCs w:val="22"/>
        </w:rPr>
        <w:t xml:space="preserve">the region’s </w:t>
      </w:r>
      <w:r>
        <w:rPr>
          <w:rFonts w:ascii="Times New Roman" w:hAnsi="Times New Roman" w:cs="Times New Roman"/>
          <w:szCs w:val="22"/>
        </w:rPr>
        <w:t>digital development</w:t>
      </w:r>
      <w:r>
        <w:rPr>
          <w:rFonts w:ascii="Times New Roman" w:eastAsia="Times New Roman" w:hAnsi="Times New Roman" w:cs="Times New Roman"/>
          <w:color w:val="111111"/>
          <w:kern w:val="0"/>
          <w:szCs w:val="24"/>
          <w14:ligatures w14:val="none"/>
        </w:rPr>
        <w:t>. Complemented by a comprehensive desk review, th</w:t>
      </w:r>
      <w:r w:rsidR="009E212C">
        <w:rPr>
          <w:rFonts w:ascii="Times New Roman" w:eastAsia="Times New Roman" w:hAnsi="Times New Roman" w:cs="Times New Roman"/>
          <w:color w:val="111111"/>
          <w:kern w:val="0"/>
          <w:szCs w:val="24"/>
          <w14:ligatures w14:val="none"/>
        </w:rPr>
        <w:t>e authors</w:t>
      </w:r>
      <w:r>
        <w:rPr>
          <w:rFonts w:ascii="Times New Roman" w:eastAsia="Times New Roman" w:hAnsi="Times New Roman" w:cs="Times New Roman"/>
          <w:color w:val="111111"/>
          <w:kern w:val="0"/>
          <w:szCs w:val="24"/>
          <w14:ligatures w14:val="none"/>
        </w:rPr>
        <w:t xml:space="preserve"> argue for the participatory inclusion of </w:t>
      </w:r>
      <w:r w:rsidR="00057102">
        <w:rPr>
          <w:rFonts w:ascii="Times New Roman" w:eastAsia="Times New Roman" w:hAnsi="Times New Roman" w:cs="Times New Roman"/>
          <w:color w:val="111111"/>
          <w:kern w:val="0"/>
          <w:szCs w:val="24"/>
          <w14:ligatures w14:val="none"/>
        </w:rPr>
        <w:t>Indigenous</w:t>
      </w:r>
      <w:r>
        <w:rPr>
          <w:rFonts w:ascii="Times New Roman" w:eastAsia="Times New Roman" w:hAnsi="Times New Roman" w:cs="Times New Roman"/>
          <w:color w:val="111111"/>
          <w:kern w:val="0"/>
          <w:szCs w:val="24"/>
          <w14:ligatures w14:val="none"/>
        </w:rPr>
        <w:t xml:space="preserve"> </w:t>
      </w:r>
      <w:r w:rsidR="00C85D8D">
        <w:rPr>
          <w:rFonts w:ascii="Times New Roman" w:eastAsia="Times New Roman" w:hAnsi="Times New Roman" w:cs="Times New Roman"/>
          <w:color w:val="111111"/>
          <w:kern w:val="0"/>
          <w:szCs w:val="24"/>
          <w14:ligatures w14:val="none"/>
        </w:rPr>
        <w:t xml:space="preserve">and tribal </w:t>
      </w:r>
      <w:r>
        <w:rPr>
          <w:rFonts w:ascii="Times New Roman" w:eastAsia="Times New Roman" w:hAnsi="Times New Roman" w:cs="Times New Roman"/>
          <w:color w:val="111111"/>
          <w:kern w:val="0"/>
          <w:szCs w:val="24"/>
          <w14:ligatures w14:val="none"/>
        </w:rPr>
        <w:t>communities in the development and implementation of regional and national health data governance frameworks</w:t>
      </w:r>
      <w:r w:rsidR="00BA45A1">
        <w:rPr>
          <w:rFonts w:ascii="Times New Roman" w:eastAsia="Times New Roman" w:hAnsi="Times New Roman" w:cs="Times New Roman"/>
          <w:color w:val="111111"/>
          <w:kern w:val="0"/>
          <w:szCs w:val="24"/>
          <w14:ligatures w14:val="none"/>
        </w:rPr>
        <w:t>;</w:t>
      </w:r>
      <w:r>
        <w:rPr>
          <w:rFonts w:ascii="Times New Roman" w:eastAsia="Times New Roman" w:hAnsi="Times New Roman" w:cs="Times New Roman"/>
          <w:color w:val="111111"/>
          <w:kern w:val="0"/>
          <w:szCs w:val="24"/>
          <w14:ligatures w14:val="none"/>
        </w:rPr>
        <w:t xml:space="preserve"> </w:t>
      </w:r>
      <w:r w:rsidR="008A12EC">
        <w:rPr>
          <w:rFonts w:ascii="Times New Roman" w:eastAsia="Times New Roman" w:hAnsi="Times New Roman" w:cs="Times New Roman"/>
          <w:color w:val="111111"/>
          <w:kern w:val="0"/>
          <w:szCs w:val="24"/>
          <w14:ligatures w14:val="none"/>
        </w:rPr>
        <w:t>for</w:t>
      </w:r>
      <w:r>
        <w:rPr>
          <w:rFonts w:ascii="Times New Roman" w:eastAsia="Times New Roman" w:hAnsi="Times New Roman" w:cs="Times New Roman"/>
          <w:color w:val="111111"/>
          <w:kern w:val="0"/>
          <w:szCs w:val="24"/>
          <w14:ligatures w14:val="none"/>
        </w:rPr>
        <w:t xml:space="preserve"> </w:t>
      </w:r>
      <w:r w:rsidR="00057102">
        <w:rPr>
          <w:rFonts w:ascii="Times New Roman" w:eastAsia="Times New Roman" w:hAnsi="Times New Roman" w:cs="Times New Roman"/>
          <w:color w:val="111111"/>
          <w:kern w:val="0"/>
          <w:szCs w:val="24"/>
          <w14:ligatures w14:val="none"/>
        </w:rPr>
        <w:t>Indigenous</w:t>
      </w:r>
      <w:r>
        <w:rPr>
          <w:rFonts w:ascii="Times New Roman" w:eastAsia="Times New Roman" w:hAnsi="Times New Roman" w:cs="Times New Roman"/>
          <w:color w:val="111111"/>
          <w:kern w:val="0"/>
          <w:szCs w:val="24"/>
          <w14:ligatures w14:val="none"/>
        </w:rPr>
        <w:t xml:space="preserve"> data sovereignty through culturally sensitive policy and technological development; and for health policies to protect intellectual property and patent rights of </w:t>
      </w:r>
      <w:r w:rsidR="00DB2257">
        <w:rPr>
          <w:rFonts w:ascii="Times New Roman" w:eastAsia="Times New Roman" w:hAnsi="Times New Roman" w:cs="Times New Roman"/>
          <w:color w:val="111111"/>
          <w:kern w:val="0"/>
          <w:szCs w:val="24"/>
          <w14:ligatures w14:val="none"/>
        </w:rPr>
        <w:t>these c</w:t>
      </w:r>
      <w:r>
        <w:rPr>
          <w:rFonts w:ascii="Times New Roman" w:eastAsia="Times New Roman" w:hAnsi="Times New Roman" w:cs="Times New Roman"/>
          <w:color w:val="111111"/>
          <w:kern w:val="0"/>
          <w:szCs w:val="24"/>
          <w14:ligatures w14:val="none"/>
        </w:rPr>
        <w:t xml:space="preserve">ommunities, </w:t>
      </w:r>
      <w:r w:rsidR="0049710B">
        <w:rPr>
          <w:rFonts w:ascii="Times New Roman" w:eastAsia="Times New Roman" w:hAnsi="Times New Roman" w:cs="Times New Roman"/>
          <w:color w:val="111111"/>
          <w:kern w:val="0"/>
          <w:szCs w:val="24"/>
          <w14:ligatures w14:val="none"/>
        </w:rPr>
        <w:t>in the wake of</w:t>
      </w:r>
      <w:r>
        <w:rPr>
          <w:rFonts w:ascii="Times New Roman" w:eastAsia="Times New Roman" w:hAnsi="Times New Roman" w:cs="Times New Roman"/>
          <w:color w:val="111111"/>
          <w:kern w:val="0"/>
          <w:szCs w:val="24"/>
          <w14:ligatures w14:val="none"/>
        </w:rPr>
        <w:t xml:space="preserve"> commercial and scientific interest in traditional medicinal systems </w:t>
      </w:r>
      <w:r w:rsidR="00132278">
        <w:rPr>
          <w:rFonts w:ascii="Times New Roman" w:eastAsia="Times New Roman" w:hAnsi="Times New Roman" w:cs="Times New Roman"/>
          <w:color w:val="111111"/>
          <w:kern w:val="0"/>
          <w:szCs w:val="24"/>
          <w14:ligatures w14:val="none"/>
        </w:rPr>
        <w:t xml:space="preserve">associated </w:t>
      </w:r>
      <w:r>
        <w:rPr>
          <w:rFonts w:ascii="Times New Roman" w:eastAsia="Times New Roman" w:hAnsi="Times New Roman" w:cs="Times New Roman"/>
          <w:color w:val="111111"/>
          <w:kern w:val="0"/>
          <w:szCs w:val="24"/>
          <w14:ligatures w14:val="none"/>
        </w:rPr>
        <w:t xml:space="preserve">with transformations in healthcare technology. </w:t>
      </w:r>
    </w:p>
    <w:p w14:paraId="7F1839D7" w14:textId="4C33A618" w:rsidR="00252F4B" w:rsidRDefault="006950B1" w:rsidP="00314B11">
      <w:pPr>
        <w:widowControl w:val="0"/>
        <w:spacing w:after="120" w:line="240" w:lineRule="auto"/>
        <w:jc w:val="both"/>
        <w:rPr>
          <w:rFonts w:ascii="Times New Roman" w:eastAsia="Montserrat" w:hAnsi="Times New Roman" w:cs="Times New Roman"/>
          <w:bCs/>
          <w:iCs/>
          <w:szCs w:val="24"/>
        </w:rPr>
      </w:pPr>
      <w:r>
        <w:rPr>
          <w:rFonts w:ascii="Times New Roman" w:eastAsia="Montserrat" w:hAnsi="Times New Roman" w:cs="Times New Roman"/>
          <w:bCs/>
          <w:iCs/>
          <w:szCs w:val="24"/>
        </w:rPr>
        <w:t>The u</w:t>
      </w:r>
      <w:r w:rsidR="00506B8A">
        <w:rPr>
          <w:rFonts w:ascii="Times New Roman" w:eastAsia="Montserrat" w:hAnsi="Times New Roman" w:cs="Times New Roman"/>
          <w:bCs/>
          <w:iCs/>
          <w:szCs w:val="24"/>
        </w:rPr>
        <w:t xml:space="preserve">nprecedented </w:t>
      </w:r>
      <w:r w:rsidR="00165AE0">
        <w:rPr>
          <w:rFonts w:ascii="Times New Roman" w:eastAsia="Montserrat" w:hAnsi="Times New Roman" w:cs="Times New Roman"/>
          <w:bCs/>
          <w:iCs/>
          <w:szCs w:val="24"/>
        </w:rPr>
        <w:t xml:space="preserve">digital </w:t>
      </w:r>
      <w:r w:rsidR="009822CF">
        <w:rPr>
          <w:rFonts w:ascii="Times New Roman" w:eastAsia="Montserrat" w:hAnsi="Times New Roman" w:cs="Times New Roman"/>
          <w:bCs/>
          <w:iCs/>
          <w:szCs w:val="24"/>
        </w:rPr>
        <w:t xml:space="preserve">development </w:t>
      </w:r>
      <w:r w:rsidR="00191CB5">
        <w:rPr>
          <w:rFonts w:ascii="Times New Roman" w:eastAsia="Montserrat" w:hAnsi="Times New Roman" w:cs="Times New Roman"/>
          <w:bCs/>
          <w:iCs/>
          <w:szCs w:val="24"/>
        </w:rPr>
        <w:t xml:space="preserve">behind </w:t>
      </w:r>
      <w:r w:rsidR="006A2A3B">
        <w:rPr>
          <w:rFonts w:ascii="Times New Roman" w:eastAsia="Montserrat" w:hAnsi="Times New Roman" w:cs="Times New Roman"/>
          <w:bCs/>
          <w:iCs/>
          <w:szCs w:val="24"/>
        </w:rPr>
        <w:t>this</w:t>
      </w:r>
      <w:r w:rsidR="0049233D">
        <w:rPr>
          <w:rFonts w:ascii="Times New Roman" w:eastAsia="Montserrat" w:hAnsi="Times New Roman" w:cs="Times New Roman"/>
          <w:bCs/>
          <w:iCs/>
          <w:szCs w:val="24"/>
        </w:rPr>
        <w:t xml:space="preserve"> transformation in healthcare technology</w:t>
      </w:r>
      <w:r w:rsidR="00990E91">
        <w:rPr>
          <w:rFonts w:ascii="Times New Roman" w:eastAsia="Montserrat" w:hAnsi="Times New Roman" w:cs="Times New Roman"/>
          <w:bCs/>
          <w:iCs/>
          <w:szCs w:val="24"/>
        </w:rPr>
        <w:t xml:space="preserve"> b</w:t>
      </w:r>
      <w:r w:rsidR="008C011E">
        <w:rPr>
          <w:rFonts w:ascii="Times New Roman" w:eastAsia="Montserrat" w:hAnsi="Times New Roman" w:cs="Times New Roman"/>
          <w:bCs/>
          <w:iCs/>
          <w:szCs w:val="24"/>
        </w:rPr>
        <w:t>rings boundless opportunities</w:t>
      </w:r>
      <w:r w:rsidR="00AF4D5A">
        <w:rPr>
          <w:rFonts w:ascii="Times New Roman" w:eastAsia="Montserrat" w:hAnsi="Times New Roman" w:cs="Times New Roman"/>
          <w:bCs/>
          <w:iCs/>
          <w:szCs w:val="24"/>
        </w:rPr>
        <w:t>,</w:t>
      </w:r>
      <w:r w:rsidR="00CE21E3">
        <w:rPr>
          <w:rFonts w:ascii="Times New Roman" w:eastAsia="Montserrat" w:hAnsi="Times New Roman" w:cs="Times New Roman"/>
          <w:bCs/>
          <w:iCs/>
          <w:szCs w:val="24"/>
        </w:rPr>
        <w:t xml:space="preserve"> </w:t>
      </w:r>
      <w:r w:rsidR="00291A80">
        <w:rPr>
          <w:rFonts w:ascii="Times New Roman" w:eastAsia="Montserrat" w:hAnsi="Times New Roman" w:cs="Times New Roman"/>
          <w:bCs/>
          <w:iCs/>
          <w:szCs w:val="24"/>
        </w:rPr>
        <w:t>as it does</w:t>
      </w:r>
      <w:r w:rsidR="00E040B8">
        <w:rPr>
          <w:rFonts w:ascii="Times New Roman" w:eastAsia="Montserrat" w:hAnsi="Times New Roman" w:cs="Times New Roman"/>
          <w:bCs/>
          <w:iCs/>
          <w:szCs w:val="24"/>
        </w:rPr>
        <w:t xml:space="preserve"> </w:t>
      </w:r>
      <w:r w:rsidR="009061FF">
        <w:rPr>
          <w:rFonts w:ascii="Times New Roman" w:eastAsia="Montserrat" w:hAnsi="Times New Roman" w:cs="Times New Roman"/>
          <w:bCs/>
          <w:iCs/>
          <w:szCs w:val="24"/>
        </w:rPr>
        <w:t>associated challenges</w:t>
      </w:r>
      <w:r w:rsidR="00700853">
        <w:rPr>
          <w:rFonts w:ascii="Times New Roman" w:eastAsia="Montserrat" w:hAnsi="Times New Roman" w:cs="Times New Roman"/>
          <w:bCs/>
          <w:iCs/>
          <w:szCs w:val="24"/>
        </w:rPr>
        <w:t xml:space="preserve"> – two of which </w:t>
      </w:r>
      <w:r w:rsidR="00753F7A">
        <w:rPr>
          <w:rFonts w:ascii="Times New Roman" w:eastAsia="Montserrat" w:hAnsi="Times New Roman" w:cs="Times New Roman"/>
          <w:bCs/>
          <w:iCs/>
          <w:szCs w:val="24"/>
        </w:rPr>
        <w:t>warrant mention in the context of this paper</w:t>
      </w:r>
      <w:r w:rsidR="00A4688A">
        <w:rPr>
          <w:rFonts w:ascii="Times New Roman" w:eastAsia="Montserrat" w:hAnsi="Times New Roman" w:cs="Times New Roman"/>
          <w:bCs/>
          <w:iCs/>
          <w:szCs w:val="24"/>
        </w:rPr>
        <w:t xml:space="preserve"> </w:t>
      </w:r>
      <w:r w:rsidR="009F3A34">
        <w:rPr>
          <w:rFonts w:ascii="Times New Roman" w:eastAsia="Montserrat" w:hAnsi="Times New Roman" w:cs="Times New Roman"/>
          <w:bCs/>
          <w:iCs/>
          <w:szCs w:val="24"/>
        </w:rPr>
        <w:t>around how g</w:t>
      </w:r>
      <w:r w:rsidR="009061FF">
        <w:rPr>
          <w:rFonts w:ascii="Times New Roman" w:eastAsia="Montserrat" w:hAnsi="Times New Roman" w:cs="Times New Roman"/>
          <w:bCs/>
          <w:iCs/>
          <w:szCs w:val="24"/>
        </w:rPr>
        <w:t xml:space="preserve">lobal development has perennially witnessed </w:t>
      </w:r>
      <w:r w:rsidR="005D31E7">
        <w:rPr>
          <w:rFonts w:ascii="Times New Roman" w:eastAsia="Montserrat" w:hAnsi="Times New Roman" w:cs="Times New Roman"/>
          <w:bCs/>
          <w:iCs/>
          <w:szCs w:val="24"/>
        </w:rPr>
        <w:t>marginalization and exclusion</w:t>
      </w:r>
      <w:r w:rsidR="00E040B8">
        <w:rPr>
          <w:rFonts w:ascii="Times New Roman" w:eastAsia="Montserrat" w:hAnsi="Times New Roman" w:cs="Times New Roman"/>
          <w:bCs/>
          <w:iCs/>
          <w:szCs w:val="24"/>
        </w:rPr>
        <w:t xml:space="preserve">. The first challenge lies around the potential for </w:t>
      </w:r>
      <w:r w:rsidR="00D86193">
        <w:rPr>
          <w:rFonts w:ascii="Times New Roman" w:eastAsia="Montserrat" w:hAnsi="Times New Roman" w:cs="Times New Roman"/>
          <w:bCs/>
          <w:iCs/>
          <w:szCs w:val="24"/>
        </w:rPr>
        <w:t xml:space="preserve">digital health technologies to exacerbate </w:t>
      </w:r>
      <w:r w:rsidR="00534F9E">
        <w:rPr>
          <w:rFonts w:ascii="Times New Roman" w:eastAsia="Montserrat" w:hAnsi="Times New Roman" w:cs="Times New Roman"/>
          <w:bCs/>
          <w:iCs/>
          <w:szCs w:val="24"/>
        </w:rPr>
        <w:t xml:space="preserve">such exclusion; and the second challenge revolves around the equitable </w:t>
      </w:r>
      <w:r w:rsidR="00824F95">
        <w:rPr>
          <w:rFonts w:ascii="Times New Roman" w:eastAsia="Montserrat" w:hAnsi="Times New Roman" w:cs="Times New Roman"/>
          <w:bCs/>
          <w:iCs/>
          <w:szCs w:val="24"/>
        </w:rPr>
        <w:t xml:space="preserve">and </w:t>
      </w:r>
      <w:r w:rsidR="00440F41">
        <w:rPr>
          <w:rFonts w:ascii="Times New Roman" w:eastAsia="Montserrat" w:hAnsi="Times New Roman" w:cs="Times New Roman"/>
          <w:bCs/>
          <w:iCs/>
          <w:szCs w:val="24"/>
        </w:rPr>
        <w:t xml:space="preserve">ethical </w:t>
      </w:r>
      <w:r w:rsidR="00534F9E">
        <w:rPr>
          <w:rFonts w:ascii="Times New Roman" w:eastAsia="Montserrat" w:hAnsi="Times New Roman" w:cs="Times New Roman"/>
          <w:bCs/>
          <w:iCs/>
          <w:szCs w:val="24"/>
        </w:rPr>
        <w:t xml:space="preserve">utilization of </w:t>
      </w:r>
      <w:r w:rsidR="00252F4B">
        <w:rPr>
          <w:rFonts w:ascii="Times New Roman" w:eastAsia="Montserrat" w:hAnsi="Times New Roman" w:cs="Times New Roman"/>
          <w:bCs/>
          <w:iCs/>
          <w:szCs w:val="24"/>
        </w:rPr>
        <w:t xml:space="preserve">the </w:t>
      </w:r>
      <w:r w:rsidR="00436E1F">
        <w:rPr>
          <w:rFonts w:ascii="Times New Roman" w:eastAsia="Montserrat" w:hAnsi="Times New Roman" w:cs="Times New Roman"/>
          <w:bCs/>
          <w:iCs/>
          <w:szCs w:val="24"/>
        </w:rPr>
        <w:t xml:space="preserve">humongous </w:t>
      </w:r>
      <w:r w:rsidR="00252F4B">
        <w:rPr>
          <w:rFonts w:ascii="Times New Roman" w:eastAsia="Montserrat" w:hAnsi="Times New Roman" w:cs="Times New Roman"/>
          <w:bCs/>
          <w:iCs/>
          <w:szCs w:val="24"/>
        </w:rPr>
        <w:t>health data thus generated.</w:t>
      </w:r>
    </w:p>
    <w:p w14:paraId="7B810C87" w14:textId="5D6BD23B" w:rsidR="00DD77E7" w:rsidRDefault="00DD77E7" w:rsidP="00314B11">
      <w:pPr>
        <w:widowControl w:val="0"/>
        <w:spacing w:after="120" w:line="240" w:lineRule="auto"/>
        <w:jc w:val="both"/>
        <w:rPr>
          <w:rFonts w:ascii="Times New Roman" w:eastAsia="Montserrat" w:hAnsi="Times New Roman" w:cs="Times New Roman"/>
          <w:bCs/>
          <w:iCs/>
          <w:szCs w:val="24"/>
        </w:rPr>
      </w:pPr>
      <w:r>
        <w:rPr>
          <w:rFonts w:ascii="Times New Roman" w:eastAsia="Montserrat" w:hAnsi="Times New Roman" w:cs="Times New Roman"/>
          <w:bCs/>
          <w:iCs/>
          <w:szCs w:val="24"/>
        </w:rPr>
        <w:t>A</w:t>
      </w:r>
      <w:r>
        <w:rPr>
          <w:rFonts w:ascii="Times New Roman" w:eastAsia="Times New Roman" w:hAnsi="Times New Roman" w:cs="Times New Roman"/>
          <w:color w:val="111111"/>
          <w:kern w:val="0"/>
          <w:szCs w:val="24"/>
          <w14:ligatures w14:val="none"/>
        </w:rPr>
        <w:t>pproximately 30% of global data, today, comes from healthcare, with a growth rate higher than that in manufacturing, financial services and media/entertainment. However, awareness</w:t>
      </w:r>
      <w:r w:rsidRPr="003362C5">
        <w:rPr>
          <w:rFonts w:ascii="Times New Roman" w:eastAsia="Times New Roman" w:hAnsi="Times New Roman" w:cs="Times New Roman"/>
          <w:color w:val="111111"/>
          <w:kern w:val="0"/>
          <w:szCs w:val="24"/>
          <w14:ligatures w14:val="none"/>
        </w:rPr>
        <w:t xml:space="preserve"> </w:t>
      </w:r>
      <w:r w:rsidR="0092385B">
        <w:rPr>
          <w:rFonts w:ascii="Times New Roman" w:eastAsia="Times New Roman" w:hAnsi="Times New Roman" w:cs="Times New Roman"/>
          <w:color w:val="111111"/>
          <w:kern w:val="0"/>
          <w:szCs w:val="24"/>
          <w14:ligatures w14:val="none"/>
        </w:rPr>
        <w:t>around</w:t>
      </w:r>
      <w:r>
        <w:rPr>
          <w:rFonts w:ascii="Times New Roman" w:eastAsia="Times New Roman" w:hAnsi="Times New Roman" w:cs="Times New Roman"/>
          <w:color w:val="111111"/>
          <w:kern w:val="0"/>
          <w:szCs w:val="24"/>
          <w14:ligatures w14:val="none"/>
        </w:rPr>
        <w:t xml:space="preserve"> how </w:t>
      </w:r>
      <w:r w:rsidR="0092385B">
        <w:rPr>
          <w:rFonts w:ascii="Times New Roman" w:eastAsia="Times New Roman" w:hAnsi="Times New Roman" w:cs="Times New Roman"/>
          <w:color w:val="111111"/>
          <w:kern w:val="0"/>
          <w:szCs w:val="24"/>
          <w14:ligatures w14:val="none"/>
        </w:rPr>
        <w:t>their</w:t>
      </w:r>
      <w:r w:rsidR="00E93F8C">
        <w:rPr>
          <w:rFonts w:ascii="Times New Roman" w:eastAsia="Times New Roman" w:hAnsi="Times New Roman" w:cs="Times New Roman"/>
          <w:color w:val="111111"/>
          <w:kern w:val="0"/>
          <w:szCs w:val="24"/>
          <w14:ligatures w14:val="none"/>
        </w:rPr>
        <w:t xml:space="preserve"> health data is</w:t>
      </w:r>
      <w:r>
        <w:rPr>
          <w:rFonts w:ascii="Times New Roman" w:eastAsia="Times New Roman" w:hAnsi="Times New Roman" w:cs="Times New Roman"/>
          <w:color w:val="111111"/>
          <w:kern w:val="0"/>
          <w:szCs w:val="24"/>
          <w14:ligatures w14:val="none"/>
        </w:rPr>
        <w:t xml:space="preserve"> collected, stored, processed, analyzed, shared and ultimately used, is low, especially among the </w:t>
      </w:r>
      <w:r w:rsidR="00057102">
        <w:rPr>
          <w:rFonts w:ascii="Times New Roman" w:eastAsia="Times New Roman" w:hAnsi="Times New Roman" w:cs="Times New Roman"/>
          <w:color w:val="111111"/>
          <w:kern w:val="0"/>
          <w:szCs w:val="24"/>
          <w14:ligatures w14:val="none"/>
        </w:rPr>
        <w:t>Indigenous</w:t>
      </w:r>
      <w:r>
        <w:rPr>
          <w:rFonts w:ascii="Times New Roman" w:eastAsia="Times New Roman" w:hAnsi="Times New Roman" w:cs="Times New Roman"/>
          <w:color w:val="111111"/>
          <w:kern w:val="0"/>
          <w:szCs w:val="24"/>
          <w14:ligatures w14:val="none"/>
        </w:rPr>
        <w:t xml:space="preserve"> people of South Asia. This necessitates the participatory development of robust </w:t>
      </w:r>
      <w:r>
        <w:rPr>
          <w:rFonts w:ascii="Times New Roman" w:eastAsia="Montserrat" w:hAnsi="Times New Roman" w:cs="Times New Roman"/>
          <w:bCs/>
          <w:iCs/>
          <w:szCs w:val="24"/>
        </w:rPr>
        <w:t xml:space="preserve">frameworks for data governance to ensure that their health data is not vulnerable to breach, misrepresentation and exploitation. </w:t>
      </w:r>
    </w:p>
    <w:p w14:paraId="7217E2EB" w14:textId="631712CE" w:rsidR="00B36EF1" w:rsidRDefault="002A3546" w:rsidP="00314B11">
      <w:pPr>
        <w:pStyle w:val="NormalWeb"/>
        <w:spacing w:before="0" w:beforeAutospacing="0" w:after="120" w:afterAutospacing="0"/>
        <w:jc w:val="both"/>
      </w:pPr>
      <w:r>
        <w:t>This paper discusse</w:t>
      </w:r>
      <w:r w:rsidR="00D47F56">
        <w:t>s</w:t>
      </w:r>
      <w:r>
        <w:t xml:space="preserve"> three </w:t>
      </w:r>
      <w:r w:rsidR="00057102">
        <w:t>Indigenous</w:t>
      </w:r>
      <w:r w:rsidR="00B36EF1">
        <w:t xml:space="preserve"> communities </w:t>
      </w:r>
      <w:r w:rsidR="00057102">
        <w:t>of</w:t>
      </w:r>
      <w:r w:rsidR="00B36EF1">
        <w:t xml:space="preserve"> South Asia</w:t>
      </w:r>
      <w:r w:rsidR="00057102">
        <w:t xml:space="preserve"> – </w:t>
      </w:r>
      <w:r w:rsidR="00B36EF1">
        <w:t xml:space="preserve">the Adivasis </w:t>
      </w:r>
      <w:r w:rsidR="00440F41">
        <w:t>of</w:t>
      </w:r>
      <w:r w:rsidR="00B36EF1">
        <w:t xml:space="preserve"> India, the </w:t>
      </w:r>
      <w:r w:rsidR="00057102">
        <w:t>Indigenous</w:t>
      </w:r>
      <w:r w:rsidR="00B36EF1">
        <w:t xml:space="preserve"> Peoples of the Chittagong Hill Tracts in Bangladesh, and the </w:t>
      </w:r>
      <w:r w:rsidR="00057102">
        <w:t>Indigenous</w:t>
      </w:r>
      <w:r w:rsidR="00B36EF1">
        <w:t xml:space="preserve"> Nationalities of Nepal</w:t>
      </w:r>
      <w:r w:rsidR="007843D0">
        <w:t xml:space="preserve">. Known to </w:t>
      </w:r>
      <w:r w:rsidR="00B36EF1">
        <w:t>possess unique health profiles influenced by their distinct lifestyles, environments, and genetic heritage</w:t>
      </w:r>
      <w:r w:rsidR="007843D0">
        <w:t xml:space="preserve">, </w:t>
      </w:r>
      <w:r w:rsidR="00B36EF1">
        <w:t>these communities often face significant health disparities, exacerbated by socioeconomic marginalization, limited access</w:t>
      </w:r>
      <w:r w:rsidR="00513076">
        <w:t xml:space="preserve">, </w:t>
      </w:r>
      <w:r w:rsidR="00B36EF1">
        <w:t xml:space="preserve">and a lack of culturally </w:t>
      </w:r>
      <w:r w:rsidR="00513076">
        <w:t xml:space="preserve">appropriate </w:t>
      </w:r>
      <w:r w:rsidR="00B36EF1">
        <w:t xml:space="preserve">health services. </w:t>
      </w:r>
      <w:r w:rsidR="00DC41B7">
        <w:t>How their health data is collected and used</w:t>
      </w:r>
      <w:r w:rsidR="00E95EEC">
        <w:t xml:space="preserve"> can </w:t>
      </w:r>
      <w:r w:rsidR="00B36EF1">
        <w:t xml:space="preserve">therefore have </w:t>
      </w:r>
      <w:r w:rsidR="0011186B">
        <w:t>significant</w:t>
      </w:r>
      <w:r w:rsidR="00B36EF1">
        <w:t xml:space="preserve"> implications for addressing these disparities and ensuring equitable health outcomes.</w:t>
      </w:r>
    </w:p>
    <w:p w14:paraId="2780BAC1" w14:textId="13E80C5D" w:rsidR="00305A22" w:rsidRDefault="00596998" w:rsidP="00314B11">
      <w:pPr>
        <w:pStyle w:val="NormalWeb"/>
        <w:spacing w:before="0" w:beforeAutospacing="0" w:after="120" w:afterAutospacing="0"/>
        <w:jc w:val="both"/>
      </w:pPr>
      <w:r>
        <w:lastRenderedPageBreak/>
        <w:t xml:space="preserve">That brings us to the important </w:t>
      </w:r>
      <w:r w:rsidR="000845C4">
        <w:t xml:space="preserve">principle </w:t>
      </w:r>
      <w:r>
        <w:t>of d</w:t>
      </w:r>
      <w:r w:rsidR="00305A22">
        <w:t xml:space="preserve">ata sovereignty – the right of individuals and communities to control the collection, ownership, and </w:t>
      </w:r>
      <w:r w:rsidR="00D17690">
        <w:t>use</w:t>
      </w:r>
      <w:r w:rsidR="00305A22">
        <w:t xml:space="preserve"> of their</w:t>
      </w:r>
      <w:r w:rsidR="003771DF">
        <w:t xml:space="preserve"> </w:t>
      </w:r>
      <w:r w:rsidR="00305A22">
        <w:t xml:space="preserve">data. For the </w:t>
      </w:r>
      <w:r w:rsidR="00057102">
        <w:t>Indigenous</w:t>
      </w:r>
      <w:r w:rsidR="00305A22">
        <w:t xml:space="preserve"> populations of South Asia, health data sovereignty is not only a matter of privacy and autonomy but also one of survival, identity, and self-determination.</w:t>
      </w:r>
      <w:r w:rsidR="009F5A4A">
        <w:t xml:space="preserve"> As such, the principle asserts that </w:t>
      </w:r>
      <w:r w:rsidR="00057102">
        <w:t>Indigenous</w:t>
      </w:r>
      <w:r w:rsidR="00305A22">
        <w:t xml:space="preserve"> communities should have control over who collects their data, how it is stored, and how it is shared and used. Such control is crucial for several reasons</w:t>
      </w:r>
      <w:r w:rsidR="00547C23">
        <w:t>, as discussed below</w:t>
      </w:r>
      <w:r w:rsidR="00305A22">
        <w:t>.</w:t>
      </w:r>
    </w:p>
    <w:p w14:paraId="3477817C" w14:textId="67D17FC2" w:rsidR="006859E7" w:rsidRDefault="00D615FF" w:rsidP="00314B11">
      <w:pPr>
        <w:pStyle w:val="NormalWeb"/>
        <w:spacing w:before="0" w:beforeAutospacing="0" w:after="120" w:afterAutospacing="0"/>
        <w:jc w:val="both"/>
      </w:pPr>
      <w:r w:rsidRPr="0050376F">
        <w:rPr>
          <w:b/>
          <w:bCs/>
        </w:rPr>
        <w:t xml:space="preserve">Cultural </w:t>
      </w:r>
      <w:r w:rsidR="00D31AB0">
        <w:rPr>
          <w:b/>
          <w:bCs/>
        </w:rPr>
        <w:t>A</w:t>
      </w:r>
      <w:r w:rsidRPr="0050376F">
        <w:rPr>
          <w:b/>
          <w:bCs/>
        </w:rPr>
        <w:t>ppropriateness</w:t>
      </w:r>
    </w:p>
    <w:p w14:paraId="7023CD95" w14:textId="31EB3A0B" w:rsidR="00F33322" w:rsidRDefault="00057102" w:rsidP="00314B11">
      <w:pPr>
        <w:pStyle w:val="NormalWeb"/>
        <w:spacing w:before="0" w:beforeAutospacing="0" w:after="120" w:afterAutospacing="0"/>
        <w:jc w:val="both"/>
      </w:pPr>
      <w:r>
        <w:t>Indigenous</w:t>
      </w:r>
      <w:r w:rsidR="00305A22">
        <w:t xml:space="preserve"> knowledge systems and practices are deeply rooted in their cultural context, and health</w:t>
      </w:r>
      <w:r w:rsidR="006F6BF5">
        <w:t>care systems</w:t>
      </w:r>
      <w:r w:rsidR="00305A22">
        <w:t xml:space="preserve"> that ignore this </w:t>
      </w:r>
      <w:r w:rsidR="006F6BF5">
        <w:t xml:space="preserve">reality </w:t>
      </w:r>
      <w:r w:rsidR="00305A22">
        <w:t xml:space="preserve">often fail. </w:t>
      </w:r>
      <w:r w:rsidR="002B33B5">
        <w:t xml:space="preserve">With control over their </w:t>
      </w:r>
      <w:r w:rsidR="00305A22">
        <w:t xml:space="preserve">health data, </w:t>
      </w:r>
      <w:r>
        <w:t>Indigenous</w:t>
      </w:r>
      <w:r w:rsidR="00305A22">
        <w:t xml:space="preserve"> communities can ensure that health policies and programs </w:t>
      </w:r>
      <w:r w:rsidR="00381EED">
        <w:t xml:space="preserve">have respect for </w:t>
      </w:r>
      <w:r w:rsidR="00FE729E">
        <w:t xml:space="preserve">and align with </w:t>
      </w:r>
      <w:r w:rsidR="00305A22">
        <w:t>their cultural values and knowledge systems.</w:t>
      </w:r>
    </w:p>
    <w:p w14:paraId="74285AEB" w14:textId="55489D90" w:rsidR="00610235" w:rsidRDefault="00E337E7" w:rsidP="00314B11">
      <w:pPr>
        <w:pStyle w:val="NormalWeb"/>
        <w:spacing w:before="0" w:beforeAutospacing="0" w:after="120" w:afterAutospacing="0"/>
        <w:jc w:val="both"/>
      </w:pPr>
      <w:r>
        <w:t xml:space="preserve">For example, </w:t>
      </w:r>
      <w:r w:rsidR="005761A5">
        <w:t xml:space="preserve">culturally relevant </w:t>
      </w:r>
      <w:r w:rsidR="00671CE5">
        <w:t xml:space="preserve">psycho-social group interventions used </w:t>
      </w:r>
      <w:r>
        <w:t xml:space="preserve">in India </w:t>
      </w:r>
      <w:r w:rsidR="00671CE5">
        <w:t xml:space="preserve">to address mental health issues among </w:t>
      </w:r>
      <w:r w:rsidR="00057102">
        <w:t>Indigenous</w:t>
      </w:r>
      <w:r w:rsidR="00671CE5">
        <w:t xml:space="preserve"> communities</w:t>
      </w:r>
      <w:r w:rsidR="005761A5">
        <w:t xml:space="preserve"> </w:t>
      </w:r>
      <w:r w:rsidR="00671CE5">
        <w:t xml:space="preserve">focus on building trust, providing social support, and improving mental health </w:t>
      </w:r>
      <w:r w:rsidR="00EE74E0">
        <w:t>outcomes</w:t>
      </w:r>
      <w:r w:rsidR="00C45538">
        <w:t xml:space="preserve">. Such </w:t>
      </w:r>
      <w:r w:rsidR="00671CE5">
        <w:t>community-based approaches respect the cultural context and ha</w:t>
      </w:r>
      <w:r w:rsidR="000D32B6">
        <w:t>ve</w:t>
      </w:r>
      <w:r w:rsidR="00671CE5">
        <w:t xml:space="preserve"> been effective in improving mental health outcomes</w:t>
      </w:r>
      <w:r w:rsidR="00482AE5">
        <w:rPr>
          <w:rStyle w:val="FootnoteReference"/>
        </w:rPr>
        <w:footnoteReference w:id="1"/>
      </w:r>
      <w:r w:rsidR="00671CE5">
        <w:t>.</w:t>
      </w:r>
    </w:p>
    <w:p w14:paraId="01C8FCA5" w14:textId="116AE4CC" w:rsidR="00671CE5" w:rsidRDefault="007E4C37" w:rsidP="00485893">
      <w:pPr>
        <w:pStyle w:val="NormalWeb"/>
        <w:spacing w:before="0" w:beforeAutospacing="0" w:after="120" w:afterAutospacing="0"/>
        <w:jc w:val="both"/>
      </w:pPr>
      <w:r w:rsidRPr="007E4C37">
        <w:rPr>
          <w:rStyle w:val="Strong"/>
          <w:rFonts w:eastAsiaTheme="majorEastAsia"/>
          <w:b w:val="0"/>
          <w:bCs w:val="0"/>
        </w:rPr>
        <w:t>Likewise</w:t>
      </w:r>
      <w:r w:rsidR="00671CE5">
        <w:t xml:space="preserve">, traditional medicine practices </w:t>
      </w:r>
      <w:r w:rsidR="00A50E48">
        <w:t>across South Asia</w:t>
      </w:r>
      <w:r w:rsidR="0082184F">
        <w:t xml:space="preserve"> – </w:t>
      </w:r>
      <w:r w:rsidR="00671CE5">
        <w:t xml:space="preserve">Ayurveda, </w:t>
      </w:r>
      <w:r w:rsidR="00A449A6">
        <w:t>Y</w:t>
      </w:r>
      <w:r w:rsidR="00671CE5">
        <w:t>oga, and Siddha</w:t>
      </w:r>
      <w:r w:rsidR="0082184F">
        <w:t xml:space="preserve">, for example – </w:t>
      </w:r>
      <w:r w:rsidR="00671CE5">
        <w:t xml:space="preserve">deeply rooted in the cultural heritage of </w:t>
      </w:r>
      <w:r w:rsidR="00057102">
        <w:t>Indigenous</w:t>
      </w:r>
      <w:r w:rsidR="00671CE5">
        <w:t xml:space="preserve"> communities are not only culturally appropriate but also effective in promoting health and well-being. Integrating these traditional practices into health interventions ensures that they align with the cultural values and knowledge systems of the communities</w:t>
      </w:r>
      <w:r w:rsidR="00CE325F">
        <w:rPr>
          <w:rStyle w:val="FootnoteReference"/>
        </w:rPr>
        <w:footnoteReference w:id="2"/>
      </w:r>
      <w:r w:rsidR="00671CE5">
        <w:t>.</w:t>
      </w:r>
    </w:p>
    <w:p w14:paraId="1690FD8B" w14:textId="433BDF8B" w:rsidR="00671CE5" w:rsidRDefault="00F80316" w:rsidP="00485893">
      <w:pPr>
        <w:pStyle w:val="NormalWeb"/>
        <w:spacing w:before="0" w:beforeAutospacing="0" w:after="120" w:afterAutospacing="0"/>
        <w:jc w:val="both"/>
      </w:pPr>
      <w:r>
        <w:t>While t</w:t>
      </w:r>
      <w:r w:rsidR="00671CE5">
        <w:t>hese examples highlight the importance of culturally appropriate health interventions in South Asia</w:t>
      </w:r>
      <w:r>
        <w:t xml:space="preserve">, they also point to the </w:t>
      </w:r>
      <w:r w:rsidR="00C075FF">
        <w:t>importance of data ownership and custodianship</w:t>
      </w:r>
      <w:r w:rsidR="00CD6622">
        <w:t xml:space="preserve"> </w:t>
      </w:r>
      <w:r w:rsidR="00047DC6">
        <w:t xml:space="preserve">in the design of effective </w:t>
      </w:r>
      <w:r w:rsidR="00671CE5">
        <w:t xml:space="preserve">health policies and programs </w:t>
      </w:r>
      <w:r w:rsidR="003E7EF5">
        <w:t>for t</w:t>
      </w:r>
      <w:r w:rsidR="00671CE5">
        <w:t>he communities they serve.</w:t>
      </w:r>
    </w:p>
    <w:p w14:paraId="4C43E686" w14:textId="670172DF" w:rsidR="006859E7" w:rsidRDefault="003E7EF5" w:rsidP="00314B11">
      <w:pPr>
        <w:pStyle w:val="NormalWeb"/>
        <w:spacing w:before="0" w:beforeAutospacing="0" w:after="120" w:afterAutospacing="0"/>
        <w:jc w:val="both"/>
        <w:rPr>
          <w:b/>
          <w:bCs/>
        </w:rPr>
      </w:pPr>
      <w:r w:rsidRPr="003E7EF5">
        <w:rPr>
          <w:b/>
          <w:bCs/>
        </w:rPr>
        <w:t xml:space="preserve">Protection </w:t>
      </w:r>
      <w:r w:rsidR="00D31AB0">
        <w:rPr>
          <w:b/>
          <w:bCs/>
        </w:rPr>
        <w:t>A</w:t>
      </w:r>
      <w:r w:rsidRPr="003E7EF5">
        <w:rPr>
          <w:b/>
          <w:bCs/>
        </w:rPr>
        <w:t xml:space="preserve">gainst </w:t>
      </w:r>
      <w:r w:rsidR="00D31AB0">
        <w:rPr>
          <w:b/>
          <w:bCs/>
        </w:rPr>
        <w:t>M</w:t>
      </w:r>
      <w:r w:rsidRPr="003E7EF5">
        <w:rPr>
          <w:b/>
          <w:bCs/>
        </w:rPr>
        <w:t>isuse</w:t>
      </w:r>
    </w:p>
    <w:p w14:paraId="34B17226" w14:textId="54BA3F16" w:rsidR="00940138" w:rsidRDefault="00305A22" w:rsidP="005A7828">
      <w:pPr>
        <w:pStyle w:val="NormalWeb"/>
        <w:spacing w:before="0" w:beforeAutospacing="0" w:after="120" w:afterAutospacing="0"/>
        <w:jc w:val="both"/>
      </w:pPr>
      <w:r>
        <w:t xml:space="preserve">There is a long history of exploitation and abuse of </w:t>
      </w:r>
      <w:r w:rsidR="00057102">
        <w:t>Indigenous</w:t>
      </w:r>
      <w:r>
        <w:t xml:space="preserve"> data, often collected without consent and used in ways that harm rather than help these communities. </w:t>
      </w:r>
      <w:r w:rsidR="00940138">
        <w:t xml:space="preserve">In 2014, a mass sterilization drive </w:t>
      </w:r>
      <w:r w:rsidR="00806E1F">
        <w:t xml:space="preserve">conducted </w:t>
      </w:r>
      <w:r w:rsidR="00940138">
        <w:t xml:space="preserve">in Bilaspur, India, </w:t>
      </w:r>
      <w:r w:rsidR="004F6D52">
        <w:t xml:space="preserve">without proper aseptic precautions </w:t>
      </w:r>
      <w:r w:rsidR="00940138">
        <w:t>led to the deaths of 12 women, many of whom were from tribal and Scheduled Caste communities</w:t>
      </w:r>
      <w:r w:rsidR="0041176C">
        <w:rPr>
          <w:rStyle w:val="FootnoteReference"/>
        </w:rPr>
        <w:footnoteReference w:id="3"/>
      </w:r>
      <w:r w:rsidR="00940138">
        <w:t xml:space="preserve">. The drive </w:t>
      </w:r>
      <w:r w:rsidR="004F6D52">
        <w:t>highlights</w:t>
      </w:r>
      <w:r w:rsidR="00E14C43">
        <w:t xml:space="preserve"> how </w:t>
      </w:r>
      <w:r w:rsidR="00940138">
        <w:t>the misuse of health data and lack of informed consent</w:t>
      </w:r>
      <w:r w:rsidR="00E14C43">
        <w:t xml:space="preserve"> can have fatal health consequences.</w:t>
      </w:r>
    </w:p>
    <w:p w14:paraId="1D432C2C" w14:textId="722D096C" w:rsidR="00940138" w:rsidRDefault="00940138" w:rsidP="005A7828">
      <w:pPr>
        <w:pStyle w:val="NormalWeb"/>
        <w:spacing w:before="0" w:beforeAutospacing="0" w:after="120" w:afterAutospacing="0"/>
        <w:jc w:val="both"/>
      </w:pPr>
      <w:r>
        <w:t xml:space="preserve">Historically, research related to </w:t>
      </w:r>
      <w:r w:rsidR="00057102">
        <w:t>Indigenous</w:t>
      </w:r>
      <w:r>
        <w:t xml:space="preserve"> peoples has often been conducted without their input or control over the data</w:t>
      </w:r>
      <w:r w:rsidR="00B10816">
        <w:t xml:space="preserve"> leading to </w:t>
      </w:r>
      <w:r>
        <w:t xml:space="preserve">policies and research outcomes that do not meet the needs and priorities of </w:t>
      </w:r>
      <w:r w:rsidR="00057102">
        <w:t>Indigenous</w:t>
      </w:r>
      <w:r>
        <w:t xml:space="preserve"> communities</w:t>
      </w:r>
      <w:r w:rsidR="00054A78">
        <w:rPr>
          <w:rStyle w:val="FootnoteReference"/>
        </w:rPr>
        <w:footnoteReference w:id="4"/>
      </w:r>
      <w:r>
        <w:t>.</w:t>
      </w:r>
      <w:r w:rsidR="001F531E">
        <w:t xml:space="preserve"> </w:t>
      </w:r>
      <w:r>
        <w:t xml:space="preserve">A systematic review revealed that the majority of the tribal </w:t>
      </w:r>
      <w:r>
        <w:lastRenderedPageBreak/>
        <w:t xml:space="preserve">population in India </w:t>
      </w:r>
      <w:r w:rsidR="008204A1">
        <w:t>failed to access public he</w:t>
      </w:r>
      <w:r>
        <w:t>althcare services</w:t>
      </w:r>
      <w:r w:rsidR="008204A1">
        <w:t xml:space="preserve"> indicating</w:t>
      </w:r>
      <w:r>
        <w:t xml:space="preserve"> a disparity in the use of health data to address the mental health needs of these communities</w:t>
      </w:r>
      <w:r w:rsidR="00F67284">
        <w:rPr>
          <w:rStyle w:val="FootnoteReference"/>
        </w:rPr>
        <w:footnoteReference w:id="5"/>
      </w:r>
      <w:r>
        <w:t>.</w:t>
      </w:r>
    </w:p>
    <w:p w14:paraId="5A40D7EA" w14:textId="3E0871A2" w:rsidR="00D6577C" w:rsidRDefault="00305A22" w:rsidP="00314B11">
      <w:pPr>
        <w:pStyle w:val="NormalWeb"/>
        <w:spacing w:before="0" w:beforeAutospacing="0" w:after="120" w:afterAutospacing="0"/>
        <w:jc w:val="both"/>
      </w:pPr>
      <w:r>
        <w:t xml:space="preserve">Ensuring </w:t>
      </w:r>
      <w:r w:rsidR="00057102">
        <w:t>Indigenous</w:t>
      </w:r>
      <w:r>
        <w:t xml:space="preserve"> </w:t>
      </w:r>
      <w:r w:rsidR="001F531E">
        <w:t xml:space="preserve">peoples’ </w:t>
      </w:r>
      <w:r>
        <w:t xml:space="preserve">control over </w:t>
      </w:r>
      <w:r w:rsidR="001F531E">
        <w:t xml:space="preserve">their </w:t>
      </w:r>
      <w:r>
        <w:t>health data prevents such exploitation and supports the ethical use of data.</w:t>
      </w:r>
      <w:r w:rsidR="005A7828">
        <w:t xml:space="preserve"> </w:t>
      </w:r>
      <w:r w:rsidR="00ED38F5">
        <w:t>For example, t</w:t>
      </w:r>
      <w:r w:rsidR="00D6577C">
        <w:t>he Adivasi communities in India have been advocating for control over their health data to prevent misuse and exploitation. By establishing community-led health data repositories, they ensure that their health information is collected, stored, and used according to their cultural values and consent protocols. This prevents external entities from exploiting their data for commercial or research purposes without their permission.</w:t>
      </w:r>
    </w:p>
    <w:p w14:paraId="04A81DC1" w14:textId="3A144CC3" w:rsidR="00D6577C" w:rsidRDefault="00D6577C" w:rsidP="00314B11">
      <w:pPr>
        <w:pStyle w:val="NormalWeb"/>
        <w:spacing w:before="0" w:beforeAutospacing="0" w:after="120" w:afterAutospacing="0"/>
        <w:jc w:val="both"/>
      </w:pPr>
      <w:r>
        <w:t xml:space="preserve">The </w:t>
      </w:r>
      <w:r w:rsidR="00057102">
        <w:t>Indigenous</w:t>
      </w:r>
      <w:r>
        <w:t xml:space="preserve"> </w:t>
      </w:r>
      <w:r w:rsidR="009276DA">
        <w:t>communities</w:t>
      </w:r>
      <w:r>
        <w:t xml:space="preserve"> of the Chittagong Hill Tracts have established community-based health information systems that </w:t>
      </w:r>
      <w:r w:rsidR="009276DA">
        <w:t xml:space="preserve">they </w:t>
      </w:r>
      <w:r>
        <w:t xml:space="preserve">manage and control by themselves. This ensures </w:t>
      </w:r>
      <w:r w:rsidR="000638CC">
        <w:t xml:space="preserve">the ethical use of their </w:t>
      </w:r>
      <w:r>
        <w:t xml:space="preserve">health data for </w:t>
      </w:r>
      <w:r w:rsidR="00E6106B">
        <w:t xml:space="preserve">community </w:t>
      </w:r>
      <w:r>
        <w:t>benefit, preventing unauthorized access and misuse.</w:t>
      </w:r>
    </w:p>
    <w:p w14:paraId="408A1E40" w14:textId="5E5EACD3" w:rsidR="00D6577C" w:rsidRDefault="00057102" w:rsidP="00314B11">
      <w:pPr>
        <w:pStyle w:val="NormalWeb"/>
        <w:spacing w:before="0" w:beforeAutospacing="0" w:after="120" w:afterAutospacing="0"/>
        <w:jc w:val="both"/>
      </w:pPr>
      <w:r>
        <w:t>Indigenous</w:t>
      </w:r>
      <w:r w:rsidR="00D6577C">
        <w:t xml:space="preserve"> communities </w:t>
      </w:r>
      <w:r w:rsidR="007F38A7">
        <w:t xml:space="preserve">in Nepal </w:t>
      </w:r>
      <w:r w:rsidR="00D6577C">
        <w:t>have been working to establish their own health data governance frameworks</w:t>
      </w:r>
      <w:r w:rsidR="000A5BD9">
        <w:t xml:space="preserve"> to </w:t>
      </w:r>
      <w:r w:rsidR="00D6577C">
        <w:t>ensure that their health data is collected and used in ways that respect their cultural context and consent. This protects them from exploitation by external researchers or organizations that may seek to use their data without proper authorization</w:t>
      </w:r>
      <w:r w:rsidR="00ED121A">
        <w:t xml:space="preserve"> or consent</w:t>
      </w:r>
      <w:r w:rsidR="00D6577C">
        <w:t>.</w:t>
      </w:r>
    </w:p>
    <w:p w14:paraId="42CD7296" w14:textId="77777777" w:rsidR="006859E7" w:rsidRDefault="006B3B8E" w:rsidP="00314B11">
      <w:pPr>
        <w:pStyle w:val="NormalWeb"/>
        <w:spacing w:before="0" w:beforeAutospacing="0" w:after="120" w:afterAutospacing="0"/>
        <w:jc w:val="both"/>
        <w:rPr>
          <w:b/>
          <w:bCs/>
        </w:rPr>
      </w:pPr>
      <w:r w:rsidRPr="006B3B8E">
        <w:rPr>
          <w:b/>
          <w:bCs/>
        </w:rPr>
        <w:t>Empowerment</w:t>
      </w:r>
    </w:p>
    <w:p w14:paraId="330CEA9C" w14:textId="05E08429" w:rsidR="00305A22" w:rsidRDefault="00305A22" w:rsidP="00314B11">
      <w:pPr>
        <w:pStyle w:val="NormalWeb"/>
        <w:spacing w:before="0" w:beforeAutospacing="0" w:after="120" w:afterAutospacing="0"/>
        <w:jc w:val="both"/>
      </w:pPr>
      <w:r>
        <w:t xml:space="preserve">Access to accurate health data </w:t>
      </w:r>
      <w:r w:rsidR="00ED121A">
        <w:t>empowers</w:t>
      </w:r>
      <w:r>
        <w:t xml:space="preserve"> communities to identify their health needs, track health outcomes, and advocate for appropriate resources and policies. It also </w:t>
      </w:r>
      <w:r w:rsidR="005E5B8C">
        <w:t>enables</w:t>
      </w:r>
      <w:r w:rsidR="002C67FC">
        <w:t xml:space="preserve"> their meaningful partici</w:t>
      </w:r>
      <w:r w:rsidR="005E5B8C">
        <w:t>pation</w:t>
      </w:r>
      <w:r>
        <w:t xml:space="preserve"> in national and international health initiatives, ensuring that their voices are </w:t>
      </w:r>
      <w:r w:rsidR="008D76F4">
        <w:t>heard,</w:t>
      </w:r>
      <w:r>
        <w:t xml:space="preserve"> and their needs are addressed.</w:t>
      </w:r>
    </w:p>
    <w:p w14:paraId="0E845FCB" w14:textId="36E1AE36" w:rsidR="00477387" w:rsidRDefault="00477387" w:rsidP="00314B11">
      <w:pPr>
        <w:pStyle w:val="NormalWeb"/>
        <w:spacing w:before="0" w:beforeAutospacing="0" w:after="120" w:afterAutospacing="0"/>
        <w:jc w:val="both"/>
      </w:pPr>
      <w:r>
        <w:t xml:space="preserve">For example, the Adivasi communities in India </w:t>
      </w:r>
      <w:r w:rsidR="00D45A95">
        <w:t>u</w:t>
      </w:r>
      <w:r>
        <w:t xml:space="preserve">tilized health data to identify their specific health needs and advocate for better healthcare services. By tracking </w:t>
      </w:r>
      <w:r w:rsidR="00D725C5">
        <w:t xml:space="preserve">and sharing </w:t>
      </w:r>
      <w:r w:rsidR="00717B4E">
        <w:t xml:space="preserve">data on </w:t>
      </w:r>
      <w:r>
        <w:t>health outcomes with policymakers, they secure</w:t>
      </w:r>
      <w:r w:rsidR="00717B4E">
        <w:t>d</w:t>
      </w:r>
      <w:r>
        <w:t xml:space="preserve"> more resources </w:t>
      </w:r>
      <w:r w:rsidR="009916D8">
        <w:t>for</w:t>
      </w:r>
      <w:r>
        <w:t xml:space="preserve"> culturally appropriate interventions</w:t>
      </w:r>
      <w:r w:rsidR="003929D6">
        <w:rPr>
          <w:rStyle w:val="FootnoteReference"/>
        </w:rPr>
        <w:footnoteReference w:id="6"/>
      </w:r>
      <w:r>
        <w:t>.</w:t>
      </w:r>
    </w:p>
    <w:p w14:paraId="075BB3E9" w14:textId="3BAD417C" w:rsidR="00477387" w:rsidRDefault="00D54E59" w:rsidP="00314B11">
      <w:pPr>
        <w:pStyle w:val="NormalWeb"/>
        <w:spacing w:before="0" w:beforeAutospacing="0" w:after="120" w:afterAutospacing="0"/>
        <w:jc w:val="both"/>
      </w:pPr>
      <w:r>
        <w:t>T</w:t>
      </w:r>
      <w:r w:rsidR="00A4736F">
        <w:t xml:space="preserve">hrough their </w:t>
      </w:r>
      <w:r w:rsidR="00477387">
        <w:t>community-based health information systems</w:t>
      </w:r>
      <w:r w:rsidR="00A4736F">
        <w:t xml:space="preserve">, </w:t>
      </w:r>
      <w:r>
        <w:t xml:space="preserve">the Indigenous Peoples of the Chittagong Hill Tracts </w:t>
      </w:r>
      <w:r w:rsidR="00A4736F">
        <w:t xml:space="preserve">are able to </w:t>
      </w:r>
      <w:r w:rsidR="00477387">
        <w:t>monitor health trends and outcomes</w:t>
      </w:r>
      <w:r w:rsidR="00CC5E22">
        <w:t xml:space="preserve">, helping them better </w:t>
      </w:r>
      <w:r w:rsidR="00477387">
        <w:t xml:space="preserve">advocate for policies that address their unique health </w:t>
      </w:r>
      <w:r w:rsidR="00E77583">
        <w:t>needs</w:t>
      </w:r>
      <w:r w:rsidR="00477387">
        <w:t xml:space="preserve"> and ensure that their voices are heard in national health </w:t>
      </w:r>
      <w:r w:rsidR="00E77583">
        <w:t>debates</w:t>
      </w:r>
      <w:r w:rsidR="00371D2B">
        <w:rPr>
          <w:rStyle w:val="FootnoteReference"/>
        </w:rPr>
        <w:footnoteReference w:id="7"/>
      </w:r>
      <w:r w:rsidR="00477387">
        <w:t>.</w:t>
      </w:r>
    </w:p>
    <w:p w14:paraId="641197DB" w14:textId="0FEC12C7" w:rsidR="00477387" w:rsidRDefault="00057102" w:rsidP="00314B11">
      <w:pPr>
        <w:pStyle w:val="NormalWeb"/>
        <w:spacing w:before="0" w:beforeAutospacing="0" w:after="120" w:afterAutospacing="0"/>
        <w:jc w:val="both"/>
      </w:pPr>
      <w:r>
        <w:t>Indigenous</w:t>
      </w:r>
      <w:r w:rsidR="00477387">
        <w:t xml:space="preserve"> communities </w:t>
      </w:r>
      <w:r w:rsidR="00A310C1">
        <w:t xml:space="preserve">in Nepal </w:t>
      </w:r>
      <w:r w:rsidR="00477387">
        <w:t xml:space="preserve">have used health data to participate more </w:t>
      </w:r>
      <w:r w:rsidR="00A310C1">
        <w:t>meaning</w:t>
      </w:r>
      <w:r w:rsidR="00477387">
        <w:t xml:space="preserve">fully in national and international health </w:t>
      </w:r>
      <w:r w:rsidR="00A310C1">
        <w:t>discourses</w:t>
      </w:r>
      <w:r w:rsidR="00477387">
        <w:t xml:space="preserve">. </w:t>
      </w:r>
      <w:r w:rsidR="003F236C">
        <w:t>With access to</w:t>
      </w:r>
      <w:r w:rsidR="00477387">
        <w:t xml:space="preserve"> accurate health data, they have been able to influence health policies and programs to better meet their needs, ensuring that their cultural context is </w:t>
      </w:r>
      <w:r w:rsidR="00270EB1">
        <w:t>respected,</w:t>
      </w:r>
      <w:r w:rsidR="00477387">
        <w:t xml:space="preserve"> and their health rights are protected</w:t>
      </w:r>
      <w:r w:rsidR="00371D2B">
        <w:rPr>
          <w:rStyle w:val="FootnoteReference"/>
        </w:rPr>
        <w:footnoteReference w:id="8"/>
      </w:r>
      <w:r w:rsidR="00477387">
        <w:t>.</w:t>
      </w:r>
    </w:p>
    <w:p w14:paraId="07146D84" w14:textId="2D74DC3D" w:rsidR="0055593E" w:rsidRDefault="00AF6BDF" w:rsidP="00314B11">
      <w:pPr>
        <w:pStyle w:val="NormalWeb"/>
        <w:spacing w:before="0" w:beforeAutospacing="0" w:after="120" w:afterAutospacing="0"/>
        <w:jc w:val="both"/>
        <w:rPr>
          <w:b/>
          <w:bCs/>
        </w:rPr>
      </w:pPr>
      <w:r>
        <w:rPr>
          <w:b/>
          <w:bCs/>
        </w:rPr>
        <w:t>Land</w:t>
      </w:r>
      <w:r w:rsidR="0055593E">
        <w:rPr>
          <w:b/>
          <w:bCs/>
        </w:rPr>
        <w:t xml:space="preserve"> Ownership</w:t>
      </w:r>
      <w:r>
        <w:rPr>
          <w:b/>
          <w:bCs/>
        </w:rPr>
        <w:t xml:space="preserve">, </w:t>
      </w:r>
      <w:r w:rsidR="0055593E">
        <w:rPr>
          <w:b/>
          <w:bCs/>
        </w:rPr>
        <w:t>Biodiversity, Food and Health</w:t>
      </w:r>
    </w:p>
    <w:p w14:paraId="4178CA80" w14:textId="61C32B5C" w:rsidR="0055593E" w:rsidRPr="0055593E" w:rsidRDefault="00D34614" w:rsidP="00314B11">
      <w:pPr>
        <w:pStyle w:val="NormalWeb"/>
        <w:spacing w:before="0" w:beforeAutospacing="0" w:after="120" w:afterAutospacing="0"/>
        <w:jc w:val="both"/>
      </w:pPr>
      <w:r>
        <w:t>The health data of the Indigenous peoples of South Asia</w:t>
      </w:r>
      <w:r w:rsidR="00E03CEF">
        <w:t xml:space="preserve"> probably fails to take into account how their health </w:t>
      </w:r>
      <w:r w:rsidR="009B3F0F">
        <w:t>s</w:t>
      </w:r>
      <w:r w:rsidR="000538CE">
        <w:t>ituations have</w:t>
      </w:r>
      <w:r w:rsidR="009B3F0F">
        <w:t xml:space="preserve"> change</w:t>
      </w:r>
      <w:r w:rsidR="000538CE">
        <w:t>d</w:t>
      </w:r>
      <w:r w:rsidR="009B3F0F">
        <w:t xml:space="preserve"> with </w:t>
      </w:r>
      <w:r w:rsidR="00496380">
        <w:t>change</w:t>
      </w:r>
      <w:r w:rsidR="00B12F59">
        <w:t>s</w:t>
      </w:r>
      <w:r w:rsidR="00496380">
        <w:t xml:space="preserve"> in </w:t>
      </w:r>
      <w:r w:rsidR="00B12F59">
        <w:t xml:space="preserve">their </w:t>
      </w:r>
      <w:r w:rsidR="00496380">
        <w:t>food</w:t>
      </w:r>
      <w:r w:rsidR="00B12F59">
        <w:t xml:space="preserve"> habits</w:t>
      </w:r>
      <w:r w:rsidR="00EA39AC">
        <w:t xml:space="preserve">. This change in food habits results from </w:t>
      </w:r>
      <w:r w:rsidR="009B3F0F">
        <w:t>changing patterns of land use,</w:t>
      </w:r>
      <w:r w:rsidR="00320231">
        <w:t xml:space="preserve"> and</w:t>
      </w:r>
      <w:r w:rsidR="009B3F0F">
        <w:t xml:space="preserve"> </w:t>
      </w:r>
      <w:r w:rsidR="00B40A92">
        <w:t>the misappropriation</w:t>
      </w:r>
      <w:r w:rsidR="00EA39AC">
        <w:t xml:space="preserve"> of </w:t>
      </w:r>
      <w:r w:rsidR="00E63D59">
        <w:t>tribal and Indigenous lands and territories</w:t>
      </w:r>
      <w:r w:rsidR="000806CE">
        <w:t xml:space="preserve"> – regions that have traditionally remained bio-diversity hubs </w:t>
      </w:r>
      <w:r w:rsidR="00E95AB8">
        <w:t xml:space="preserve">because of </w:t>
      </w:r>
      <w:r w:rsidR="00F92139">
        <w:t xml:space="preserve">the strong bonds between Indigenous peoples and nature. </w:t>
      </w:r>
      <w:r w:rsidR="00097EB9">
        <w:t xml:space="preserve">Indigenous data </w:t>
      </w:r>
      <w:r w:rsidR="00CA60A6">
        <w:t xml:space="preserve">governance frameworks need to </w:t>
      </w:r>
      <w:r w:rsidR="00CA60A6">
        <w:lastRenderedPageBreak/>
        <w:t xml:space="preserve">take </w:t>
      </w:r>
      <w:r w:rsidR="004A0A35">
        <w:t xml:space="preserve">into </w:t>
      </w:r>
      <w:r w:rsidR="00CA60A6">
        <w:t xml:space="preserve">account </w:t>
      </w:r>
      <w:r w:rsidR="004E3F5A">
        <w:t xml:space="preserve">this correlation between biodiversity </w:t>
      </w:r>
      <w:r w:rsidR="004A0A35">
        <w:t xml:space="preserve">degradation and deterioration in </w:t>
      </w:r>
      <w:r w:rsidR="00DE0F2F">
        <w:t>Indigenous peoples’ health.</w:t>
      </w:r>
      <w:r w:rsidR="00E63D59">
        <w:t xml:space="preserve"> </w:t>
      </w:r>
      <w:r w:rsidR="00B40A92">
        <w:t xml:space="preserve"> </w:t>
      </w:r>
    </w:p>
    <w:p w14:paraId="251BF0E2" w14:textId="35BA270C" w:rsidR="000E01B3" w:rsidRPr="000E01B3" w:rsidRDefault="000E01B3" w:rsidP="00314B11">
      <w:pPr>
        <w:pStyle w:val="NormalWeb"/>
        <w:spacing w:before="0" w:beforeAutospacing="0" w:after="120" w:afterAutospacing="0"/>
        <w:jc w:val="both"/>
        <w:rPr>
          <w:b/>
          <w:bCs/>
        </w:rPr>
      </w:pPr>
      <w:r w:rsidRPr="000E01B3">
        <w:rPr>
          <w:b/>
          <w:bCs/>
        </w:rPr>
        <w:t>Patent Rights</w:t>
      </w:r>
    </w:p>
    <w:p w14:paraId="495FE464" w14:textId="10A18AC5" w:rsidR="000E01B3" w:rsidRDefault="000E01B3" w:rsidP="00314B11">
      <w:pPr>
        <w:pStyle w:val="NormalWeb"/>
        <w:spacing w:before="0" w:beforeAutospacing="0" w:after="120" w:afterAutospacing="0"/>
        <w:jc w:val="both"/>
        <w:rPr>
          <w:color w:val="111111"/>
        </w:rPr>
      </w:pPr>
      <w:r w:rsidRPr="00F54484">
        <w:rPr>
          <w:color w:val="111111"/>
        </w:rPr>
        <w:t xml:space="preserve">South Asia is home to intergenerational </w:t>
      </w:r>
      <w:r w:rsidR="00057102">
        <w:rPr>
          <w:color w:val="111111"/>
        </w:rPr>
        <w:t>Indigenous</w:t>
      </w:r>
      <w:r w:rsidRPr="00F54484">
        <w:rPr>
          <w:color w:val="111111"/>
        </w:rPr>
        <w:t xml:space="preserve"> knowledge reflecting community traditions in prevention, diagnosis and treatment in health. With unprecedented advancement in technology, there is the danger that ‘big pharma’ </w:t>
      </w:r>
      <w:r w:rsidR="00E74F0D">
        <w:rPr>
          <w:color w:val="111111"/>
        </w:rPr>
        <w:t xml:space="preserve">could </w:t>
      </w:r>
      <w:r w:rsidRPr="00F54484">
        <w:rPr>
          <w:color w:val="111111"/>
        </w:rPr>
        <w:t xml:space="preserve">trial and patent traditional medicines, not only depleting </w:t>
      </w:r>
      <w:r w:rsidR="00057102">
        <w:rPr>
          <w:color w:val="111111"/>
        </w:rPr>
        <w:t>Indigenous</w:t>
      </w:r>
      <w:r w:rsidRPr="00F54484">
        <w:rPr>
          <w:color w:val="111111"/>
        </w:rPr>
        <w:t xml:space="preserve"> resources, but also creating barriers of access. Regional and national policy frameworks need to comply with WHO, WTO and World Intellectual Property Organization frameworks to safeguard the patent rights of </w:t>
      </w:r>
      <w:r w:rsidR="00057102">
        <w:rPr>
          <w:color w:val="111111"/>
        </w:rPr>
        <w:t>Indigenous</w:t>
      </w:r>
      <w:r w:rsidRPr="00F54484">
        <w:rPr>
          <w:color w:val="111111"/>
        </w:rPr>
        <w:t xml:space="preserve"> communities and vital resources</w:t>
      </w:r>
      <w:r w:rsidR="0089572D">
        <w:rPr>
          <w:rStyle w:val="FootnoteReference"/>
          <w:color w:val="111111"/>
        </w:rPr>
        <w:footnoteReference w:id="9"/>
      </w:r>
      <w:r w:rsidRPr="00F54484">
        <w:rPr>
          <w:color w:val="111111"/>
        </w:rPr>
        <w:t>.</w:t>
      </w:r>
      <w:r>
        <w:rPr>
          <w:color w:val="111111"/>
        </w:rPr>
        <w:t xml:space="preserve"> </w:t>
      </w:r>
    </w:p>
    <w:p w14:paraId="7C5E91A5" w14:textId="0209378F" w:rsidR="0030379B" w:rsidRDefault="0030379B" w:rsidP="00314B11">
      <w:pPr>
        <w:pStyle w:val="NormalWeb"/>
        <w:spacing w:before="0" w:beforeAutospacing="0" w:after="120" w:afterAutospacing="0"/>
        <w:jc w:val="both"/>
      </w:pPr>
      <w:r>
        <w:t xml:space="preserve">Ayurveda, a traditional system of medicine, has </w:t>
      </w:r>
      <w:r w:rsidR="00147865">
        <w:t>witnessed</w:t>
      </w:r>
      <w:r>
        <w:t xml:space="preserve"> the patenting of turmeric and neem-based products by foreign companies</w:t>
      </w:r>
      <w:r w:rsidR="00D30277">
        <w:t>,</w:t>
      </w:r>
      <w:r>
        <w:t xml:space="preserve"> le</w:t>
      </w:r>
      <w:r w:rsidR="00D30277">
        <w:t>a</w:t>
      </w:r>
      <w:r>
        <w:t>d</w:t>
      </w:r>
      <w:r w:rsidR="00D30277">
        <w:t>ing</w:t>
      </w:r>
      <w:r>
        <w:t xml:space="preserve"> to legal battles</w:t>
      </w:r>
      <w:r w:rsidR="00EF5AD8">
        <w:t xml:space="preserve">. Concerned with the </w:t>
      </w:r>
      <w:r>
        <w:t>exploitation of traditional knowledge</w:t>
      </w:r>
      <w:r w:rsidR="0078616D">
        <w:t>, the</w:t>
      </w:r>
      <w:r>
        <w:t xml:space="preserve"> Indian government has had to intervene to revoke such patents and protect </w:t>
      </w:r>
      <w:r w:rsidR="00057102">
        <w:t>Indigenous</w:t>
      </w:r>
      <w:r>
        <w:t xml:space="preserve"> knowledge</w:t>
      </w:r>
      <w:r w:rsidR="00683B8E">
        <w:rPr>
          <w:rStyle w:val="FootnoteReference"/>
        </w:rPr>
        <w:footnoteReference w:id="10"/>
      </w:r>
      <w:r>
        <w:t>.</w:t>
      </w:r>
    </w:p>
    <w:p w14:paraId="530652B0" w14:textId="1FFCFD60" w:rsidR="0030379B" w:rsidRDefault="0030379B" w:rsidP="00314B11">
      <w:pPr>
        <w:pStyle w:val="NormalWeb"/>
        <w:spacing w:before="0" w:beforeAutospacing="0" w:after="120" w:afterAutospacing="0"/>
        <w:jc w:val="both"/>
      </w:pPr>
      <w:r>
        <w:t xml:space="preserve">In Nepal, </w:t>
      </w:r>
      <w:r w:rsidR="0045176F">
        <w:t xml:space="preserve">extensive research and patenting of </w:t>
      </w:r>
      <w:r>
        <w:t>traditional medicinal plants like Yarsagumba (Cordyceps sinensis) by foreign entities</w:t>
      </w:r>
      <w:r w:rsidR="00DD29B9">
        <w:t xml:space="preserve"> </w:t>
      </w:r>
      <w:r>
        <w:t>has led to the depletion of local resources</w:t>
      </w:r>
      <w:r w:rsidR="00F107BE">
        <w:t>. This has in turn</w:t>
      </w:r>
      <w:r>
        <w:t xml:space="preserve"> restricted access for </w:t>
      </w:r>
      <w:r w:rsidR="00057102">
        <w:t>Indigenous</w:t>
      </w:r>
      <w:r>
        <w:t xml:space="preserve"> communities who rely on these plants for their livelihoods and traditional healthcare. </w:t>
      </w:r>
      <w:r w:rsidR="00E93199">
        <w:t>There is the need for n</w:t>
      </w:r>
      <w:r>
        <w:t xml:space="preserve">ational policies </w:t>
      </w:r>
      <w:r w:rsidR="00E93199">
        <w:t>that</w:t>
      </w:r>
      <w:r>
        <w:t xml:space="preserve"> ensure that traditional knowledge is protected and that benefits are shared equitably with </w:t>
      </w:r>
      <w:r w:rsidR="00057102">
        <w:t>Indigenous</w:t>
      </w:r>
      <w:r>
        <w:t xml:space="preserve"> communities</w:t>
      </w:r>
      <w:r w:rsidR="00683B8E">
        <w:rPr>
          <w:rStyle w:val="FootnoteReference"/>
        </w:rPr>
        <w:footnoteReference w:id="11"/>
      </w:r>
      <w:r>
        <w:t>.</w:t>
      </w:r>
    </w:p>
    <w:p w14:paraId="349F0B92" w14:textId="3A5DE6F7" w:rsidR="0030379B" w:rsidRDefault="0030379B" w:rsidP="00314B11">
      <w:pPr>
        <w:pStyle w:val="NormalWeb"/>
        <w:spacing w:before="0" w:beforeAutospacing="0" w:after="120" w:afterAutospacing="0"/>
        <w:jc w:val="both"/>
      </w:pPr>
      <w:r>
        <w:t>In Bangladesh, traditional medicinal plants ha</w:t>
      </w:r>
      <w:r w:rsidR="00A80772">
        <w:t>ve</w:t>
      </w:r>
      <w:r>
        <w:t xml:space="preserve"> attracted the interest of pharmaceutical companies</w:t>
      </w:r>
      <w:r w:rsidR="00483F84">
        <w:t xml:space="preserve"> and the </w:t>
      </w:r>
      <w:r>
        <w:t xml:space="preserve">lack of robust legal frameworks to protect traditional knowledge has resulted in the unauthorized use and patenting of these resources by external entities. This not only depletes </w:t>
      </w:r>
      <w:r w:rsidR="00C421A5">
        <w:t>scarce</w:t>
      </w:r>
      <w:r>
        <w:t xml:space="preserve"> resources but also </w:t>
      </w:r>
      <w:r w:rsidR="0098350F">
        <w:t>prohibits</w:t>
      </w:r>
      <w:r>
        <w:t xml:space="preserve"> access for communities who have used these remedies for generations</w:t>
      </w:r>
      <w:r w:rsidR="00683B8E">
        <w:rPr>
          <w:rStyle w:val="FootnoteReference"/>
        </w:rPr>
        <w:footnoteReference w:id="12"/>
      </w:r>
      <w:r>
        <w:t>.</w:t>
      </w:r>
    </w:p>
    <w:p w14:paraId="4FE2A78B" w14:textId="36EFC6E7" w:rsidR="00860CC1" w:rsidRDefault="00992C87" w:rsidP="00314B11">
      <w:pPr>
        <w:pStyle w:val="NormalWeb"/>
        <w:spacing w:before="0" w:beforeAutospacing="0" w:after="120" w:afterAutospacing="0"/>
        <w:jc w:val="both"/>
        <w:rPr>
          <w:b/>
          <w:bCs/>
        </w:rPr>
      </w:pPr>
      <w:r w:rsidRPr="00992C87">
        <w:rPr>
          <w:b/>
          <w:bCs/>
        </w:rPr>
        <w:t>Challenges</w:t>
      </w:r>
      <w:r w:rsidR="00712A61">
        <w:rPr>
          <w:b/>
          <w:bCs/>
        </w:rPr>
        <w:t xml:space="preserve"> and Remedies</w:t>
      </w:r>
    </w:p>
    <w:p w14:paraId="11912FA0" w14:textId="669BCFE3" w:rsidR="00305A22" w:rsidRDefault="00375AF0" w:rsidP="00314B11">
      <w:pPr>
        <w:pStyle w:val="NormalWeb"/>
        <w:spacing w:before="0" w:beforeAutospacing="0" w:after="120" w:afterAutospacing="0"/>
        <w:jc w:val="both"/>
      </w:pPr>
      <w:r>
        <w:t>The positive examples notwithstanding</w:t>
      </w:r>
      <w:r w:rsidR="00305A22">
        <w:t xml:space="preserve">, achieving health data sovereignty for </w:t>
      </w:r>
      <w:r w:rsidR="00057102">
        <w:t>Indigenous</w:t>
      </w:r>
      <w:r w:rsidR="00305A22">
        <w:t xml:space="preserve"> peoples in South Asia </w:t>
      </w:r>
      <w:r w:rsidR="00FC0911">
        <w:t>is not without it</w:t>
      </w:r>
      <w:r w:rsidR="00305A22">
        <w:t xml:space="preserve"> challenges. These include the lack of </w:t>
      </w:r>
      <w:r w:rsidR="00FC0911">
        <w:t xml:space="preserve">robust </w:t>
      </w:r>
      <w:r w:rsidR="00305A22">
        <w:t xml:space="preserve">legal frameworks supporting data sovereignty, limited capacity within </w:t>
      </w:r>
      <w:r w:rsidR="00057102">
        <w:t>Indigenous</w:t>
      </w:r>
      <w:r w:rsidR="00305A22">
        <w:t xml:space="preserve"> communities to manage health data, and </w:t>
      </w:r>
      <w:r w:rsidR="00361423">
        <w:t>non-cooperation</w:t>
      </w:r>
      <w:r w:rsidR="00305A22">
        <w:t xml:space="preserve"> </w:t>
      </w:r>
      <w:r w:rsidR="00361423">
        <w:t>of</w:t>
      </w:r>
      <w:r w:rsidR="00305A22">
        <w:t xml:space="preserve"> mainstream health institutions. </w:t>
      </w:r>
    </w:p>
    <w:p w14:paraId="09DCD582" w14:textId="22704F31" w:rsidR="00305A22" w:rsidRDefault="00305A22" w:rsidP="00314B11">
      <w:pPr>
        <w:pStyle w:val="NormalWeb"/>
        <w:spacing w:before="0" w:beforeAutospacing="0" w:after="120" w:afterAutospacing="0"/>
        <w:jc w:val="both"/>
      </w:pPr>
      <w:r>
        <w:t>Legal recognition of health data sovereignty is a critical step</w:t>
      </w:r>
      <w:r w:rsidR="00970B9B">
        <w:t xml:space="preserve"> at addressing these challenges</w:t>
      </w:r>
      <w:r>
        <w:t xml:space="preserve">. Governments in South Asia need to develop and implement policies that recognize the rights of </w:t>
      </w:r>
      <w:r w:rsidR="00057102">
        <w:t>Indigenous</w:t>
      </w:r>
      <w:r>
        <w:t xml:space="preserve"> communities </w:t>
      </w:r>
      <w:r w:rsidR="00100DFF">
        <w:t>over</w:t>
      </w:r>
      <w:r>
        <w:t xml:space="preserve"> their health data. This includes ensuring that data collection practices are aligned with the principles of free, prior, and informed consent (FPIC) and that data-sharing agreements respect </w:t>
      </w:r>
      <w:r w:rsidR="00057102">
        <w:t>Indigenous</w:t>
      </w:r>
      <w:r>
        <w:t xml:space="preserve"> ownership and control.</w:t>
      </w:r>
    </w:p>
    <w:p w14:paraId="77F7A188" w14:textId="125456C3" w:rsidR="00305A22" w:rsidRDefault="00305A22" w:rsidP="00314B11">
      <w:pPr>
        <w:pStyle w:val="NormalWeb"/>
        <w:spacing w:before="0" w:beforeAutospacing="0" w:after="120" w:afterAutospacing="0"/>
        <w:jc w:val="both"/>
      </w:pPr>
      <w:r>
        <w:t xml:space="preserve">Capacity-building </w:t>
      </w:r>
      <w:r w:rsidR="004A4787">
        <w:t xml:space="preserve">initiatives </w:t>
      </w:r>
      <w:r w:rsidR="005F2899">
        <w:t>should</w:t>
      </w:r>
      <w:r w:rsidR="004A4787">
        <w:t xml:space="preserve"> </w:t>
      </w:r>
      <w:r>
        <w:t>provid</w:t>
      </w:r>
      <w:r w:rsidR="009F0A1A">
        <w:t>e</w:t>
      </w:r>
      <w:r>
        <w:t xml:space="preserve"> training and resources to enable </w:t>
      </w:r>
      <w:r w:rsidR="009F0A1A">
        <w:t xml:space="preserve">Indigenous </w:t>
      </w:r>
      <w:r>
        <w:t xml:space="preserve">communities to collect, manage, and use their health data effectively. Partnerships with academic institutions, </w:t>
      </w:r>
      <w:r w:rsidR="00C811CF">
        <w:t>civil society</w:t>
      </w:r>
      <w:r>
        <w:t xml:space="preserve"> organizations, and other stakeholders </w:t>
      </w:r>
      <w:r w:rsidR="00C444AA">
        <w:t>should be promoted</w:t>
      </w:r>
      <w:r>
        <w:t>.</w:t>
      </w:r>
    </w:p>
    <w:p w14:paraId="71FCDF48" w14:textId="3F952C88" w:rsidR="00305A22" w:rsidRDefault="00305A22" w:rsidP="00314B11">
      <w:pPr>
        <w:pStyle w:val="NormalWeb"/>
        <w:spacing w:before="0" w:beforeAutospacing="0" w:after="120" w:afterAutospacing="0"/>
        <w:jc w:val="both"/>
      </w:pPr>
      <w:r>
        <w:lastRenderedPageBreak/>
        <w:t>F</w:t>
      </w:r>
      <w:r w:rsidR="001342AA">
        <w:t>inally, f</w:t>
      </w:r>
      <w:r>
        <w:t xml:space="preserve">ostering a collaborative relationship between </w:t>
      </w:r>
      <w:r w:rsidR="00057102">
        <w:t>Indigenous</w:t>
      </w:r>
      <w:r>
        <w:t xml:space="preserve"> communities and mainstream health institutions </w:t>
      </w:r>
      <w:r w:rsidR="00FE07C6">
        <w:t xml:space="preserve">could help with </w:t>
      </w:r>
      <w:r>
        <w:t xml:space="preserve">recognizing and valuing </w:t>
      </w:r>
      <w:r w:rsidR="00057102">
        <w:t>Indigenous</w:t>
      </w:r>
      <w:r>
        <w:t xml:space="preserve"> knowledge systems and ensuring that health data initiatives are co-designed and co-implemented.</w:t>
      </w:r>
    </w:p>
    <w:p w14:paraId="186DCF46" w14:textId="118EF85E" w:rsidR="00D2201F" w:rsidRDefault="00057102" w:rsidP="00314B11">
      <w:pPr>
        <w:pStyle w:val="NormalWeb"/>
        <w:spacing w:before="0" w:beforeAutospacing="0" w:after="120" w:afterAutospacing="0"/>
        <w:jc w:val="both"/>
        <w:rPr>
          <w:b/>
          <w:bCs/>
        </w:rPr>
      </w:pPr>
      <w:r>
        <w:rPr>
          <w:b/>
          <w:bCs/>
        </w:rPr>
        <w:t>Indigenous</w:t>
      </w:r>
      <w:r w:rsidR="0082229F">
        <w:rPr>
          <w:b/>
          <w:bCs/>
        </w:rPr>
        <w:t xml:space="preserve"> Data Sovereignty: </w:t>
      </w:r>
      <w:r w:rsidR="005002AB">
        <w:rPr>
          <w:b/>
          <w:bCs/>
        </w:rPr>
        <w:t xml:space="preserve">Alliances and </w:t>
      </w:r>
      <w:r w:rsidR="0088612B">
        <w:rPr>
          <w:b/>
          <w:bCs/>
        </w:rPr>
        <w:t>I</w:t>
      </w:r>
      <w:r w:rsidR="00771BBE" w:rsidRPr="006859E7">
        <w:rPr>
          <w:b/>
          <w:bCs/>
        </w:rPr>
        <w:t>nstruments</w:t>
      </w:r>
    </w:p>
    <w:p w14:paraId="7D8AA905" w14:textId="3E5739A5" w:rsidR="009E7A64" w:rsidRDefault="007B4B82" w:rsidP="009E7A64">
      <w:pPr>
        <w:widowControl w:val="0"/>
        <w:spacing w:after="120" w:line="240" w:lineRule="auto"/>
        <w:jc w:val="both"/>
        <w:rPr>
          <w:rFonts w:ascii="Times New Roman" w:eastAsia="Times New Roman" w:hAnsi="Times New Roman" w:cs="Times New Roman"/>
          <w:color w:val="111111"/>
          <w:kern w:val="0"/>
          <w:szCs w:val="24"/>
          <w14:ligatures w14:val="none"/>
        </w:rPr>
      </w:pPr>
      <w:r>
        <w:rPr>
          <w:rFonts w:ascii="Times New Roman" w:eastAsia="Times New Roman" w:hAnsi="Times New Roman" w:cs="Times New Roman"/>
          <w:color w:val="111111"/>
          <w:kern w:val="0"/>
          <w:szCs w:val="24"/>
          <w14:ligatures w14:val="none"/>
        </w:rPr>
        <w:t>This section provides a short description of key alliances and instruments that exist</w:t>
      </w:r>
      <w:r w:rsidR="00DE62D5">
        <w:rPr>
          <w:rFonts w:ascii="Times New Roman" w:eastAsia="Times New Roman" w:hAnsi="Times New Roman" w:cs="Times New Roman"/>
          <w:color w:val="111111"/>
          <w:kern w:val="0"/>
          <w:szCs w:val="24"/>
          <w14:ligatures w14:val="none"/>
        </w:rPr>
        <w:t xml:space="preserve"> to promote </w:t>
      </w:r>
      <w:r w:rsidR="00057102">
        <w:rPr>
          <w:rFonts w:ascii="Times New Roman" w:eastAsia="Times New Roman" w:hAnsi="Times New Roman" w:cs="Times New Roman"/>
          <w:color w:val="111111"/>
          <w:kern w:val="0"/>
          <w:szCs w:val="24"/>
          <w14:ligatures w14:val="none"/>
        </w:rPr>
        <w:t>Indigenous</w:t>
      </w:r>
      <w:r w:rsidR="00DE62D5">
        <w:rPr>
          <w:rFonts w:ascii="Times New Roman" w:eastAsia="Times New Roman" w:hAnsi="Times New Roman" w:cs="Times New Roman"/>
          <w:color w:val="111111"/>
          <w:kern w:val="0"/>
          <w:szCs w:val="24"/>
          <w14:ligatures w14:val="none"/>
        </w:rPr>
        <w:t xml:space="preserve"> data sovereignty. </w:t>
      </w:r>
      <w:r w:rsidR="00A45768">
        <w:rPr>
          <w:rFonts w:ascii="Times New Roman" w:eastAsia="Times New Roman" w:hAnsi="Times New Roman" w:cs="Times New Roman"/>
          <w:color w:val="111111"/>
          <w:kern w:val="0"/>
          <w:szCs w:val="24"/>
          <w14:ligatures w14:val="none"/>
        </w:rPr>
        <w:t>While this is not an exhaustive list, it</w:t>
      </w:r>
      <w:r w:rsidR="000F5315">
        <w:rPr>
          <w:rFonts w:ascii="Times New Roman" w:eastAsia="Times New Roman" w:hAnsi="Times New Roman" w:cs="Times New Roman"/>
          <w:color w:val="111111"/>
          <w:kern w:val="0"/>
          <w:szCs w:val="24"/>
          <w14:ligatures w14:val="none"/>
        </w:rPr>
        <w:t xml:space="preserve"> </w:t>
      </w:r>
      <w:r w:rsidR="00A45768">
        <w:rPr>
          <w:rFonts w:ascii="Times New Roman" w:eastAsia="Times New Roman" w:hAnsi="Times New Roman" w:cs="Times New Roman"/>
          <w:color w:val="111111"/>
          <w:kern w:val="0"/>
          <w:szCs w:val="24"/>
          <w14:ligatures w14:val="none"/>
        </w:rPr>
        <w:t>can</w:t>
      </w:r>
      <w:r w:rsidR="000F5315">
        <w:rPr>
          <w:rFonts w:ascii="Times New Roman" w:eastAsia="Times New Roman" w:hAnsi="Times New Roman" w:cs="Times New Roman"/>
          <w:color w:val="111111"/>
          <w:kern w:val="0"/>
          <w:szCs w:val="24"/>
          <w14:ligatures w14:val="none"/>
        </w:rPr>
        <w:t xml:space="preserve"> </w:t>
      </w:r>
      <w:r w:rsidR="00816E62">
        <w:rPr>
          <w:rFonts w:ascii="Times New Roman" w:eastAsia="Times New Roman" w:hAnsi="Times New Roman" w:cs="Times New Roman"/>
          <w:color w:val="111111"/>
          <w:kern w:val="0"/>
          <w:szCs w:val="24"/>
          <w14:ligatures w14:val="none"/>
        </w:rPr>
        <w:t xml:space="preserve">help to </w:t>
      </w:r>
      <w:r w:rsidR="000F5315">
        <w:rPr>
          <w:rFonts w:ascii="Times New Roman" w:eastAsia="Times New Roman" w:hAnsi="Times New Roman" w:cs="Times New Roman"/>
          <w:color w:val="111111"/>
          <w:kern w:val="0"/>
          <w:szCs w:val="24"/>
          <w14:ligatures w14:val="none"/>
        </w:rPr>
        <w:t>serve</w:t>
      </w:r>
      <w:r w:rsidR="00816E62">
        <w:rPr>
          <w:rFonts w:ascii="Times New Roman" w:eastAsia="Times New Roman" w:hAnsi="Times New Roman" w:cs="Times New Roman"/>
          <w:color w:val="111111"/>
          <w:kern w:val="0"/>
          <w:szCs w:val="24"/>
          <w14:ligatures w14:val="none"/>
        </w:rPr>
        <w:t xml:space="preserve"> and support </w:t>
      </w:r>
      <w:r w:rsidR="00057102">
        <w:rPr>
          <w:rFonts w:ascii="Times New Roman" w:eastAsia="Times New Roman" w:hAnsi="Times New Roman" w:cs="Times New Roman"/>
          <w:color w:val="111111"/>
          <w:kern w:val="0"/>
          <w:szCs w:val="24"/>
          <w14:ligatures w14:val="none"/>
        </w:rPr>
        <w:t>Indigenous</w:t>
      </w:r>
      <w:r w:rsidR="009A4564">
        <w:rPr>
          <w:rFonts w:ascii="Times New Roman" w:eastAsia="Times New Roman" w:hAnsi="Times New Roman" w:cs="Times New Roman"/>
          <w:color w:val="111111"/>
          <w:kern w:val="0"/>
          <w:szCs w:val="24"/>
          <w14:ligatures w14:val="none"/>
        </w:rPr>
        <w:t xml:space="preserve"> data governance </w:t>
      </w:r>
      <w:r w:rsidR="00947317">
        <w:rPr>
          <w:rFonts w:ascii="Times New Roman" w:eastAsia="Times New Roman" w:hAnsi="Times New Roman" w:cs="Times New Roman"/>
          <w:color w:val="111111"/>
          <w:kern w:val="0"/>
          <w:szCs w:val="24"/>
          <w14:ligatures w14:val="none"/>
        </w:rPr>
        <w:t>advocates</w:t>
      </w:r>
      <w:r w:rsidR="009A4564">
        <w:rPr>
          <w:rFonts w:ascii="Times New Roman" w:eastAsia="Times New Roman" w:hAnsi="Times New Roman" w:cs="Times New Roman"/>
          <w:color w:val="111111"/>
          <w:kern w:val="0"/>
          <w:szCs w:val="24"/>
          <w14:ligatures w14:val="none"/>
        </w:rPr>
        <w:t xml:space="preserve"> and activists in South Asia, or globally.</w:t>
      </w:r>
      <w:r w:rsidR="009E7A64">
        <w:rPr>
          <w:rFonts w:ascii="Times New Roman" w:eastAsia="Times New Roman" w:hAnsi="Times New Roman" w:cs="Times New Roman"/>
          <w:color w:val="111111"/>
          <w:kern w:val="0"/>
          <w:szCs w:val="24"/>
          <w14:ligatures w14:val="none"/>
        </w:rPr>
        <w:t xml:space="preserve"> </w:t>
      </w:r>
    </w:p>
    <w:p w14:paraId="65D1D290" w14:textId="3BD6E8A0" w:rsidR="00876A1F" w:rsidRDefault="00876A1F" w:rsidP="00876A1F">
      <w:pPr>
        <w:pStyle w:val="NormalWeb"/>
        <w:spacing w:before="0" w:beforeAutospacing="0" w:after="120" w:afterAutospacing="0"/>
        <w:jc w:val="both"/>
      </w:pPr>
      <w:r>
        <w:t>The UNDRIP</w:t>
      </w:r>
      <w:r w:rsidR="00674594">
        <w:t xml:space="preserve"> </w:t>
      </w:r>
      <w:r w:rsidR="00E25624">
        <w:t xml:space="preserve">– </w:t>
      </w:r>
      <w:r>
        <w:t xml:space="preserve">a comprehensive international instrument adopted by the UN General Assembly </w:t>
      </w:r>
      <w:r w:rsidR="0009365F">
        <w:t>in</w:t>
      </w:r>
      <w:r>
        <w:t xml:space="preserve"> 2007</w:t>
      </w:r>
      <w:r w:rsidR="00E25624">
        <w:t xml:space="preserve"> – </w:t>
      </w:r>
      <w:r w:rsidR="0009365F">
        <w:t>lays</w:t>
      </w:r>
      <w:r>
        <w:t xml:space="preserve"> out the rights of </w:t>
      </w:r>
      <w:r w:rsidR="00057102">
        <w:t>Indigenous</w:t>
      </w:r>
      <w:r>
        <w:t xml:space="preserve"> peoples globally, establishing minimum standards for their survival, dignity, and well-being.</w:t>
      </w:r>
      <w:r w:rsidR="0015641C">
        <w:t xml:space="preserve"> These include the right to self-determination</w:t>
      </w:r>
      <w:r w:rsidR="00F176DF">
        <w:t xml:space="preserve">; </w:t>
      </w:r>
      <w:r w:rsidR="001D7899">
        <w:t>cultural rights and identity</w:t>
      </w:r>
      <w:r w:rsidR="00F176DF">
        <w:t>;</w:t>
      </w:r>
      <w:r w:rsidR="001D7899">
        <w:t xml:space="preserve"> </w:t>
      </w:r>
      <w:r w:rsidR="00F176DF">
        <w:t xml:space="preserve">land and resources; participation in decision-making; free prior and informed consent; </w:t>
      </w:r>
      <w:r w:rsidR="00D473B2">
        <w:t xml:space="preserve">and non-discrimination – </w:t>
      </w:r>
      <w:r w:rsidR="004343F2">
        <w:t xml:space="preserve">highlighting the rights of </w:t>
      </w:r>
      <w:r w:rsidR="00057102">
        <w:t>Indigenous</w:t>
      </w:r>
      <w:r w:rsidR="004343F2">
        <w:t xml:space="preserve"> communities </w:t>
      </w:r>
      <w:r w:rsidR="007E14E5">
        <w:t>to inclusion and participation</w:t>
      </w:r>
      <w:r w:rsidR="00415C63">
        <w:t>, including in the development of data governance frameworks</w:t>
      </w:r>
      <w:r w:rsidR="0053276C">
        <w:rPr>
          <w:rStyle w:val="FootnoteReference"/>
        </w:rPr>
        <w:footnoteReference w:id="13"/>
      </w:r>
      <w:r w:rsidR="00DC2AF9">
        <w:rPr>
          <w:rStyle w:val="FootnoteReference"/>
        </w:rPr>
        <w:footnoteReference w:id="14"/>
      </w:r>
      <w:r w:rsidR="00415C63">
        <w:t>.</w:t>
      </w:r>
    </w:p>
    <w:p w14:paraId="2F985021" w14:textId="4EFFBFC2" w:rsidR="00D04688" w:rsidRPr="00D04688" w:rsidRDefault="00D04688" w:rsidP="00C62428">
      <w:pPr>
        <w:spacing w:before="100" w:beforeAutospacing="1" w:after="100" w:afterAutospacing="1" w:line="240" w:lineRule="auto"/>
        <w:jc w:val="both"/>
        <w:rPr>
          <w:rFonts w:ascii="Times New Roman" w:eastAsia="Times New Roman" w:hAnsi="Times New Roman" w:cs="Times New Roman"/>
          <w:kern w:val="0"/>
          <w:szCs w:val="24"/>
          <w14:ligatures w14:val="none"/>
        </w:rPr>
      </w:pPr>
      <w:r w:rsidRPr="00D04688">
        <w:rPr>
          <w:rFonts w:ascii="Times New Roman" w:eastAsia="Times New Roman" w:hAnsi="Times New Roman" w:cs="Times New Roman"/>
          <w:kern w:val="0"/>
          <w:szCs w:val="24"/>
          <w14:ligatures w14:val="none"/>
        </w:rPr>
        <w:t>The</w:t>
      </w:r>
      <w:r w:rsidR="00C62428">
        <w:rPr>
          <w:rFonts w:ascii="Times New Roman" w:eastAsia="Times New Roman" w:hAnsi="Times New Roman" w:cs="Times New Roman"/>
          <w:kern w:val="0"/>
          <w:szCs w:val="24"/>
          <w14:ligatures w14:val="none"/>
        </w:rPr>
        <w:t xml:space="preserve"> C</w:t>
      </w:r>
      <w:r w:rsidR="00417451">
        <w:rPr>
          <w:rFonts w:ascii="Times New Roman" w:eastAsia="Times New Roman" w:hAnsi="Times New Roman" w:cs="Times New Roman"/>
          <w:kern w:val="0"/>
          <w:szCs w:val="24"/>
          <w14:ligatures w14:val="none"/>
        </w:rPr>
        <w:t>ARE</w:t>
      </w:r>
      <w:r w:rsidR="00C62428">
        <w:rPr>
          <w:rFonts w:ascii="Times New Roman" w:eastAsia="Times New Roman" w:hAnsi="Times New Roman" w:cs="Times New Roman"/>
          <w:kern w:val="0"/>
          <w:szCs w:val="24"/>
          <w14:ligatures w14:val="none"/>
        </w:rPr>
        <w:t xml:space="preserve"> Principles for </w:t>
      </w:r>
      <w:r w:rsidR="00057102">
        <w:rPr>
          <w:rFonts w:ascii="Times New Roman" w:eastAsia="Times New Roman" w:hAnsi="Times New Roman" w:cs="Times New Roman"/>
          <w:kern w:val="0"/>
          <w:szCs w:val="24"/>
          <w14:ligatures w14:val="none"/>
        </w:rPr>
        <w:t>Indigenous</w:t>
      </w:r>
      <w:r w:rsidR="00C62428">
        <w:rPr>
          <w:rFonts w:ascii="Times New Roman" w:eastAsia="Times New Roman" w:hAnsi="Times New Roman" w:cs="Times New Roman"/>
          <w:kern w:val="0"/>
          <w:szCs w:val="24"/>
          <w14:ligatures w14:val="none"/>
        </w:rPr>
        <w:t xml:space="preserve"> Data Governance – </w:t>
      </w:r>
      <w:r w:rsidRPr="00D04688">
        <w:rPr>
          <w:rFonts w:ascii="Times New Roman" w:eastAsia="Times New Roman" w:hAnsi="Times New Roman" w:cs="Times New Roman"/>
          <w:kern w:val="0"/>
          <w:szCs w:val="24"/>
          <w14:ligatures w14:val="none"/>
        </w:rPr>
        <w:t xml:space="preserve">a set of guidelines designed to ensure that data ecosystems respect and uphold the rights and interests of </w:t>
      </w:r>
      <w:r w:rsidR="00057102">
        <w:rPr>
          <w:rFonts w:ascii="Times New Roman" w:eastAsia="Times New Roman" w:hAnsi="Times New Roman" w:cs="Times New Roman"/>
          <w:kern w:val="0"/>
          <w:szCs w:val="24"/>
          <w14:ligatures w14:val="none"/>
        </w:rPr>
        <w:t>Indigenous</w:t>
      </w:r>
      <w:r w:rsidRPr="00D04688">
        <w:rPr>
          <w:rFonts w:ascii="Times New Roman" w:eastAsia="Times New Roman" w:hAnsi="Times New Roman" w:cs="Times New Roman"/>
          <w:kern w:val="0"/>
          <w:szCs w:val="24"/>
          <w14:ligatures w14:val="none"/>
        </w:rPr>
        <w:t xml:space="preserve"> Peoples</w:t>
      </w:r>
      <w:r w:rsidR="00417451">
        <w:rPr>
          <w:rFonts w:ascii="Times New Roman" w:eastAsia="Times New Roman" w:hAnsi="Times New Roman" w:cs="Times New Roman"/>
          <w:kern w:val="0"/>
          <w:szCs w:val="24"/>
          <w14:ligatures w14:val="none"/>
        </w:rPr>
        <w:t xml:space="preserve"> </w:t>
      </w:r>
      <w:r w:rsidR="00C47E49">
        <w:rPr>
          <w:rFonts w:ascii="Times New Roman" w:eastAsia="Times New Roman" w:hAnsi="Times New Roman" w:cs="Times New Roman"/>
          <w:kern w:val="0"/>
          <w:szCs w:val="24"/>
          <w14:ligatures w14:val="none"/>
        </w:rPr>
        <w:t>–</w:t>
      </w:r>
      <w:r w:rsidR="00417451">
        <w:rPr>
          <w:rFonts w:ascii="Times New Roman" w:eastAsia="Times New Roman" w:hAnsi="Times New Roman" w:cs="Times New Roman"/>
          <w:kern w:val="0"/>
          <w:szCs w:val="24"/>
          <w14:ligatures w14:val="none"/>
        </w:rPr>
        <w:t xml:space="preserve"> </w:t>
      </w:r>
      <w:r w:rsidR="00C47E49">
        <w:rPr>
          <w:rFonts w:ascii="Times New Roman" w:eastAsia="Times New Roman" w:hAnsi="Times New Roman" w:cs="Times New Roman"/>
          <w:kern w:val="0"/>
          <w:szCs w:val="24"/>
          <w14:ligatures w14:val="none"/>
        </w:rPr>
        <w:t xml:space="preserve">advocates for </w:t>
      </w:r>
      <w:r w:rsidR="00AB6A09">
        <w:rPr>
          <w:rFonts w:ascii="Times New Roman" w:eastAsia="Times New Roman" w:hAnsi="Times New Roman" w:cs="Times New Roman"/>
          <w:kern w:val="0"/>
          <w:szCs w:val="24"/>
          <w14:ligatures w14:val="none"/>
        </w:rPr>
        <w:t>Collective Benefit, Authority to Control, Responsibility</w:t>
      </w:r>
      <w:r w:rsidR="00EC71CC">
        <w:rPr>
          <w:rFonts w:ascii="Times New Roman" w:eastAsia="Times New Roman" w:hAnsi="Times New Roman" w:cs="Times New Roman"/>
          <w:kern w:val="0"/>
          <w:szCs w:val="24"/>
          <w14:ligatures w14:val="none"/>
        </w:rPr>
        <w:t>, and Ethics</w:t>
      </w:r>
      <w:r w:rsidR="00B56AFF">
        <w:rPr>
          <w:rStyle w:val="FootnoteReference"/>
          <w:rFonts w:ascii="Times New Roman" w:eastAsia="Times New Roman" w:hAnsi="Times New Roman" w:cs="Times New Roman"/>
          <w:kern w:val="0"/>
          <w:szCs w:val="24"/>
          <w14:ligatures w14:val="none"/>
        </w:rPr>
        <w:footnoteReference w:id="15"/>
      </w:r>
      <w:r w:rsidRPr="00D04688">
        <w:rPr>
          <w:rFonts w:ascii="Times New Roman" w:eastAsia="Times New Roman" w:hAnsi="Times New Roman" w:cs="Times New Roman"/>
          <w:kern w:val="0"/>
          <w:szCs w:val="24"/>
          <w14:ligatures w14:val="none"/>
        </w:rPr>
        <w:t>. The</w:t>
      </w:r>
      <w:r w:rsidR="00297035">
        <w:rPr>
          <w:rFonts w:ascii="Times New Roman" w:eastAsia="Times New Roman" w:hAnsi="Times New Roman" w:cs="Times New Roman"/>
          <w:kern w:val="0"/>
          <w:szCs w:val="24"/>
          <w14:ligatures w14:val="none"/>
        </w:rPr>
        <w:t xml:space="preserve">y </w:t>
      </w:r>
      <w:r w:rsidRPr="00D04688">
        <w:rPr>
          <w:rFonts w:ascii="Times New Roman" w:eastAsia="Times New Roman" w:hAnsi="Times New Roman" w:cs="Times New Roman"/>
          <w:kern w:val="0"/>
          <w:szCs w:val="24"/>
          <w14:ligatures w14:val="none"/>
        </w:rPr>
        <w:t>complement the FAIR principles (Findable, Accessible, Interoperable, Reusable) by emphasizing the importance of people and purpose in data governance</w:t>
      </w:r>
      <w:r w:rsidR="00DB2EA7">
        <w:rPr>
          <w:rStyle w:val="FootnoteReference"/>
          <w:rFonts w:ascii="Times New Roman" w:eastAsia="Times New Roman" w:hAnsi="Times New Roman" w:cs="Times New Roman"/>
          <w:kern w:val="0"/>
          <w:szCs w:val="24"/>
          <w14:ligatures w14:val="none"/>
        </w:rPr>
        <w:footnoteReference w:id="16"/>
      </w:r>
      <w:r w:rsidRPr="00D04688">
        <w:rPr>
          <w:rFonts w:ascii="Times New Roman" w:eastAsia="Times New Roman" w:hAnsi="Times New Roman" w:cs="Times New Roman"/>
          <w:kern w:val="0"/>
          <w:szCs w:val="24"/>
          <w14:ligatures w14:val="none"/>
        </w:rPr>
        <w:t xml:space="preserve">. They aim to empower </w:t>
      </w:r>
      <w:r w:rsidR="00057102">
        <w:rPr>
          <w:rFonts w:ascii="Times New Roman" w:eastAsia="Times New Roman" w:hAnsi="Times New Roman" w:cs="Times New Roman"/>
          <w:kern w:val="0"/>
          <w:szCs w:val="24"/>
          <w14:ligatures w14:val="none"/>
        </w:rPr>
        <w:t>Indigenous</w:t>
      </w:r>
      <w:r w:rsidRPr="00D04688">
        <w:rPr>
          <w:rFonts w:ascii="Times New Roman" w:eastAsia="Times New Roman" w:hAnsi="Times New Roman" w:cs="Times New Roman"/>
          <w:kern w:val="0"/>
          <w:szCs w:val="24"/>
          <w14:ligatures w14:val="none"/>
        </w:rPr>
        <w:t xml:space="preserve"> communities to manage their data in ways that support their self-determination and innovation.</w:t>
      </w:r>
    </w:p>
    <w:p w14:paraId="5C453AAF" w14:textId="7BF637C5" w:rsidR="00C36AAC" w:rsidRDefault="003E1711" w:rsidP="003E1711">
      <w:pPr>
        <w:pStyle w:val="NormalWeb"/>
        <w:jc w:val="both"/>
      </w:pPr>
      <w:r>
        <w:t>While t</w:t>
      </w:r>
      <w:r w:rsidR="00C36AAC">
        <w:t>he</w:t>
      </w:r>
      <w:r w:rsidR="00674A84">
        <w:t xml:space="preserve"> Global Digital Compact </w:t>
      </w:r>
      <w:r>
        <w:t xml:space="preserve">– </w:t>
      </w:r>
      <w:r w:rsidR="00C36AAC">
        <w:t>a</w:t>
      </w:r>
      <w:r>
        <w:t xml:space="preserve"> </w:t>
      </w:r>
      <w:r w:rsidR="00C36AAC">
        <w:t xml:space="preserve">framework aimed at improving digital cooperation and ensuring that digital advancements benefit all people, including </w:t>
      </w:r>
      <w:r w:rsidR="00057102">
        <w:t>Indigenous</w:t>
      </w:r>
      <w:r w:rsidR="00C36AAC">
        <w:t xml:space="preserve"> communities</w:t>
      </w:r>
      <w:r w:rsidR="00896423">
        <w:t xml:space="preserve"> – does not </w:t>
      </w:r>
      <w:r w:rsidR="00C36AAC">
        <w:t xml:space="preserve">specifically focus on </w:t>
      </w:r>
      <w:r w:rsidR="00057102">
        <w:t>Indigenous</w:t>
      </w:r>
      <w:r w:rsidR="00C36AAC">
        <w:t xml:space="preserve"> data sovereignty, it emphasizes principles such as</w:t>
      </w:r>
      <w:r w:rsidR="002203AA">
        <w:t xml:space="preserve"> data protection, human rights online</w:t>
      </w:r>
      <w:r w:rsidR="00ED11F7">
        <w:t xml:space="preserve">, </w:t>
      </w:r>
      <w:r w:rsidR="002203AA">
        <w:t>and digital inclusion</w:t>
      </w:r>
      <w:r w:rsidR="008568A2">
        <w:rPr>
          <w:rStyle w:val="FootnoteReference"/>
        </w:rPr>
        <w:footnoteReference w:id="17"/>
      </w:r>
      <w:r w:rsidR="002203AA">
        <w:t xml:space="preserve">. </w:t>
      </w:r>
      <w:r w:rsidR="00C36AAC">
        <w:t xml:space="preserve">These principles align with the goals of </w:t>
      </w:r>
      <w:r w:rsidR="00057102">
        <w:t>Indigenous</w:t>
      </w:r>
      <w:r w:rsidR="00C36AAC">
        <w:t xml:space="preserve"> data sovereignty, which seek to ensure that </w:t>
      </w:r>
      <w:r w:rsidR="00057102">
        <w:t>Indigenous</w:t>
      </w:r>
      <w:r w:rsidR="00C36AAC">
        <w:t xml:space="preserve"> communities have control over their data and that their rights are respected.</w:t>
      </w:r>
      <w:r w:rsidR="004861ED">
        <w:t xml:space="preserve"> Additionally, the Compact </w:t>
      </w:r>
      <w:r w:rsidR="00C36AAC">
        <w:t xml:space="preserve">encourages the inclusion of </w:t>
      </w:r>
      <w:r w:rsidR="00057102">
        <w:t>Indigenous</w:t>
      </w:r>
      <w:r w:rsidR="00C36AAC">
        <w:t xml:space="preserve"> voices in digital </w:t>
      </w:r>
      <w:r w:rsidR="00656CA8">
        <w:t>policymaking</w:t>
      </w:r>
      <w:r w:rsidR="00C36AAC">
        <w:t xml:space="preserve"> and highlights the importance of respecting </w:t>
      </w:r>
      <w:r w:rsidR="00057102">
        <w:t>Indigenous</w:t>
      </w:r>
      <w:r w:rsidR="00C36AAC">
        <w:t xml:space="preserve"> values and collective interests</w:t>
      </w:r>
      <w:r w:rsidR="006327DC">
        <w:rPr>
          <w:rStyle w:val="FootnoteReference"/>
        </w:rPr>
        <w:footnoteReference w:id="18"/>
      </w:r>
      <w:r w:rsidR="00C36AAC">
        <w:t xml:space="preserve">. </w:t>
      </w:r>
    </w:p>
    <w:p w14:paraId="407E7E4B" w14:textId="4299835D" w:rsidR="009E53B0" w:rsidRDefault="009E53B0" w:rsidP="00856754">
      <w:pPr>
        <w:pStyle w:val="NormalWeb"/>
        <w:jc w:val="both"/>
      </w:pPr>
      <w:r>
        <w:t>The</w:t>
      </w:r>
      <w:r w:rsidR="00856754">
        <w:t xml:space="preserve"> Global </w:t>
      </w:r>
      <w:r w:rsidR="00057102">
        <w:t>Indigenous</w:t>
      </w:r>
      <w:r w:rsidR="00856754">
        <w:t xml:space="preserve"> Data Alliance </w:t>
      </w:r>
      <w:r w:rsidR="00D5092F">
        <w:t xml:space="preserve">(GIDA) </w:t>
      </w:r>
      <w:r w:rsidR="00856754">
        <w:t xml:space="preserve">– </w:t>
      </w:r>
      <w:r>
        <w:t xml:space="preserve">an international network of </w:t>
      </w:r>
      <w:r w:rsidR="00057102">
        <w:t>Indigenous</w:t>
      </w:r>
      <w:r>
        <w:t xml:space="preserve"> researchers, data practitioners, and policy activists who advocate for </w:t>
      </w:r>
      <w:r w:rsidR="00057102">
        <w:t>Indigenous</w:t>
      </w:r>
      <w:r>
        <w:t xml:space="preserve"> Data Sovereignty and Governance</w:t>
      </w:r>
      <w:r w:rsidR="003A5647">
        <w:t xml:space="preserve"> – aim to </w:t>
      </w:r>
      <w:r>
        <w:t xml:space="preserve">ensure that </w:t>
      </w:r>
      <w:r w:rsidR="00057102">
        <w:t>Indigenous</w:t>
      </w:r>
      <w:r>
        <w:t xml:space="preserve"> Peoples have control over their data and that their rights and interests are respected in data governance.</w:t>
      </w:r>
      <w:r w:rsidR="00D5092F">
        <w:t xml:space="preserve"> </w:t>
      </w:r>
      <w:r>
        <w:t>GIDA promotes the</w:t>
      </w:r>
      <w:r w:rsidR="00D5092F">
        <w:t xml:space="preserve"> CARE principles</w:t>
      </w:r>
      <w:r>
        <w:t xml:space="preserve">, which emphasize the importance of </w:t>
      </w:r>
      <w:r w:rsidR="00057102">
        <w:t>Indigenous</w:t>
      </w:r>
      <w:r>
        <w:t xml:space="preserve"> values and collective interests in data management</w:t>
      </w:r>
      <w:r w:rsidR="00DA27BD">
        <w:rPr>
          <w:rStyle w:val="FootnoteReference"/>
        </w:rPr>
        <w:footnoteReference w:id="19"/>
      </w:r>
      <w:r>
        <w:t>.</w:t>
      </w:r>
    </w:p>
    <w:p w14:paraId="224ADE35" w14:textId="0D34F179" w:rsidR="00C916E3" w:rsidRDefault="00C916E3" w:rsidP="00E60720">
      <w:pPr>
        <w:pStyle w:val="NormalWeb"/>
        <w:jc w:val="both"/>
      </w:pPr>
      <w:r>
        <w:lastRenderedPageBreak/>
        <w:t xml:space="preserve">The Asia </w:t>
      </w:r>
      <w:r w:rsidR="00057102">
        <w:t>Indigenous</w:t>
      </w:r>
      <w:r>
        <w:t xml:space="preserve"> Peoples’ Pact (AIPP) has developed the Asian Framework on </w:t>
      </w:r>
      <w:r w:rsidR="00057102">
        <w:t>Indigenous</w:t>
      </w:r>
      <w:r>
        <w:t xml:space="preserve"> Knowledge and Data Sovereignty</w:t>
      </w:r>
      <w:r w:rsidR="00E60720">
        <w:t xml:space="preserve">, which </w:t>
      </w:r>
      <w:r>
        <w:t xml:space="preserve">emphasizes the importance of </w:t>
      </w:r>
      <w:r w:rsidR="00057102">
        <w:t>Indigenous</w:t>
      </w:r>
      <w:r>
        <w:t xml:space="preserve"> Peoples' rights to control their knowledge and data, which is crucial for their self-determination and effective self-governance. </w:t>
      </w:r>
      <w:r w:rsidR="00645776">
        <w:t xml:space="preserve">Aligned with </w:t>
      </w:r>
      <w:r w:rsidR="00057102">
        <w:t>Indigenous</w:t>
      </w:r>
      <w:r w:rsidR="00645776">
        <w:t xml:space="preserve"> values and </w:t>
      </w:r>
      <w:r w:rsidR="00B441FF">
        <w:t>collective interests, i</w:t>
      </w:r>
      <w:r>
        <w:t xml:space="preserve">t outlines key values and principles necessary to uphold </w:t>
      </w:r>
      <w:r w:rsidR="00057102">
        <w:t>Indigenous</w:t>
      </w:r>
      <w:r>
        <w:t xml:space="preserve"> ways of knowing and respects their rights</w:t>
      </w:r>
      <w:r w:rsidR="00E44A0D">
        <w:rPr>
          <w:rStyle w:val="FootnoteReference"/>
        </w:rPr>
        <w:footnoteReference w:id="20"/>
      </w:r>
      <w:r>
        <w:t>.</w:t>
      </w:r>
    </w:p>
    <w:p w14:paraId="430325EE" w14:textId="3263EDF4" w:rsidR="003A5550" w:rsidRDefault="00E92859" w:rsidP="00940172">
      <w:pPr>
        <w:widowControl w:val="0"/>
        <w:spacing w:after="200" w:line="240" w:lineRule="auto"/>
        <w:jc w:val="both"/>
        <w:rPr>
          <w:b/>
          <w:bCs/>
        </w:rPr>
      </w:pPr>
      <w:r>
        <w:rPr>
          <w:rFonts w:ascii="Times New Roman" w:eastAsia="Montserrat" w:hAnsi="Times New Roman" w:cs="Times New Roman"/>
          <w:szCs w:val="24"/>
        </w:rPr>
        <w:t xml:space="preserve">While it is important </w:t>
      </w:r>
      <w:r w:rsidR="00194F18">
        <w:rPr>
          <w:rFonts w:ascii="Times New Roman" w:eastAsia="Montserrat" w:hAnsi="Times New Roman" w:cs="Times New Roman"/>
          <w:szCs w:val="24"/>
        </w:rPr>
        <w:t>for</w:t>
      </w:r>
      <w:r>
        <w:rPr>
          <w:rFonts w:ascii="Times New Roman" w:eastAsia="Montserrat" w:hAnsi="Times New Roman" w:cs="Times New Roman"/>
          <w:szCs w:val="24"/>
        </w:rPr>
        <w:t xml:space="preserve"> </w:t>
      </w:r>
      <w:r w:rsidR="00C839D8">
        <w:rPr>
          <w:rFonts w:ascii="Times New Roman" w:eastAsia="Montserrat" w:hAnsi="Times New Roman" w:cs="Times New Roman"/>
          <w:szCs w:val="24"/>
        </w:rPr>
        <w:t xml:space="preserve">legal and regulatory frameworks </w:t>
      </w:r>
      <w:r w:rsidR="00BF17A3">
        <w:rPr>
          <w:rFonts w:ascii="Times New Roman" w:eastAsia="Montserrat" w:hAnsi="Times New Roman" w:cs="Times New Roman"/>
          <w:szCs w:val="24"/>
        </w:rPr>
        <w:t xml:space="preserve">related to </w:t>
      </w:r>
      <w:r w:rsidR="00C839D8">
        <w:rPr>
          <w:rFonts w:ascii="Times New Roman" w:eastAsia="Montserrat" w:hAnsi="Times New Roman" w:cs="Times New Roman"/>
          <w:szCs w:val="24"/>
        </w:rPr>
        <w:t xml:space="preserve">data </w:t>
      </w:r>
      <w:r w:rsidR="00194F18">
        <w:rPr>
          <w:rFonts w:ascii="Times New Roman" w:eastAsia="Montserrat" w:hAnsi="Times New Roman" w:cs="Times New Roman"/>
          <w:szCs w:val="24"/>
        </w:rPr>
        <w:t xml:space="preserve">across countries to remain </w:t>
      </w:r>
      <w:r w:rsidR="009D536B">
        <w:rPr>
          <w:rFonts w:ascii="Times New Roman" w:eastAsia="Montserrat" w:hAnsi="Times New Roman" w:cs="Times New Roman"/>
          <w:szCs w:val="24"/>
        </w:rPr>
        <w:t>in harmony</w:t>
      </w:r>
      <w:r w:rsidR="00C971C6">
        <w:rPr>
          <w:rFonts w:ascii="Times New Roman" w:eastAsia="Montserrat" w:hAnsi="Times New Roman" w:cs="Times New Roman"/>
          <w:szCs w:val="24"/>
        </w:rPr>
        <w:t xml:space="preserve">, as recognized </w:t>
      </w:r>
      <w:r w:rsidR="003D2BFE">
        <w:rPr>
          <w:rFonts w:ascii="Times New Roman" w:eastAsia="Montserrat" w:hAnsi="Times New Roman" w:cs="Times New Roman"/>
          <w:szCs w:val="24"/>
        </w:rPr>
        <w:t xml:space="preserve">by the </w:t>
      </w:r>
      <w:r w:rsidR="00611FFB" w:rsidRPr="00611FFB">
        <w:rPr>
          <w:rFonts w:ascii="Times New Roman" w:eastAsia="Montserrat" w:hAnsi="Times New Roman" w:cs="Times New Roman"/>
          <w:szCs w:val="24"/>
        </w:rPr>
        <w:t>2025 G20 Health Ministers’ declaration</w:t>
      </w:r>
      <w:r w:rsidR="003D2BFE">
        <w:rPr>
          <w:rFonts w:ascii="Times New Roman" w:eastAsia="Montserrat" w:hAnsi="Times New Roman" w:cs="Times New Roman"/>
          <w:szCs w:val="24"/>
        </w:rPr>
        <w:t xml:space="preserve">, </w:t>
      </w:r>
      <w:r w:rsidR="00000DE1">
        <w:rPr>
          <w:rFonts w:ascii="Times New Roman" w:eastAsia="Montserrat" w:hAnsi="Times New Roman" w:cs="Times New Roman"/>
          <w:szCs w:val="24"/>
        </w:rPr>
        <w:t xml:space="preserve">it is crucial that such frameworks </w:t>
      </w:r>
      <w:r w:rsidR="00C63E5B">
        <w:rPr>
          <w:rFonts w:ascii="Times New Roman" w:eastAsia="Montserrat" w:hAnsi="Times New Roman" w:cs="Times New Roman"/>
          <w:szCs w:val="24"/>
        </w:rPr>
        <w:t>also</w:t>
      </w:r>
      <w:r w:rsidR="00611FFB" w:rsidRPr="00611FFB">
        <w:rPr>
          <w:rFonts w:ascii="Times New Roman" w:eastAsia="Montserrat" w:hAnsi="Times New Roman" w:cs="Times New Roman"/>
          <w:szCs w:val="24"/>
        </w:rPr>
        <w:t xml:space="preserve"> </w:t>
      </w:r>
      <w:r w:rsidR="009D536B">
        <w:rPr>
          <w:rFonts w:ascii="Times New Roman" w:eastAsia="Montserrat" w:hAnsi="Times New Roman" w:cs="Times New Roman"/>
          <w:szCs w:val="24"/>
        </w:rPr>
        <w:t xml:space="preserve">take into account </w:t>
      </w:r>
      <w:r w:rsidR="00A66B0C">
        <w:rPr>
          <w:rFonts w:ascii="Times New Roman" w:eastAsia="Montserrat" w:hAnsi="Times New Roman" w:cs="Times New Roman"/>
          <w:szCs w:val="24"/>
        </w:rPr>
        <w:t xml:space="preserve">the needs and priorities of </w:t>
      </w:r>
      <w:r w:rsidR="00C63E5B">
        <w:rPr>
          <w:rFonts w:ascii="Times New Roman" w:eastAsia="Montserrat" w:hAnsi="Times New Roman" w:cs="Times New Roman"/>
          <w:szCs w:val="24"/>
        </w:rPr>
        <w:t>I</w:t>
      </w:r>
      <w:r w:rsidR="00A66B0C">
        <w:rPr>
          <w:rFonts w:ascii="Times New Roman" w:eastAsia="Montserrat" w:hAnsi="Times New Roman" w:cs="Times New Roman"/>
          <w:szCs w:val="24"/>
        </w:rPr>
        <w:t>ndigenous peoples</w:t>
      </w:r>
      <w:r w:rsidR="00D61288">
        <w:rPr>
          <w:rFonts w:ascii="Times New Roman" w:eastAsia="Montserrat" w:hAnsi="Times New Roman" w:cs="Times New Roman"/>
          <w:szCs w:val="24"/>
        </w:rPr>
        <w:t>,</w:t>
      </w:r>
      <w:r w:rsidR="00A66B0C">
        <w:rPr>
          <w:rFonts w:ascii="Times New Roman" w:eastAsia="Montserrat" w:hAnsi="Times New Roman" w:cs="Times New Roman"/>
          <w:szCs w:val="24"/>
        </w:rPr>
        <w:t xml:space="preserve"> </w:t>
      </w:r>
      <w:r w:rsidR="00191F1A">
        <w:rPr>
          <w:rFonts w:ascii="Times New Roman" w:eastAsia="Montserrat" w:hAnsi="Times New Roman" w:cs="Times New Roman"/>
          <w:szCs w:val="24"/>
        </w:rPr>
        <w:t>ensuring alignment</w:t>
      </w:r>
      <w:r w:rsidR="001D76F9">
        <w:rPr>
          <w:rFonts w:ascii="Times New Roman" w:eastAsia="Montserrat" w:hAnsi="Times New Roman" w:cs="Times New Roman"/>
          <w:szCs w:val="24"/>
        </w:rPr>
        <w:t xml:space="preserve"> </w:t>
      </w:r>
      <w:r w:rsidR="00A66B0C">
        <w:rPr>
          <w:rFonts w:ascii="Times New Roman" w:eastAsia="Montserrat" w:hAnsi="Times New Roman" w:cs="Times New Roman"/>
          <w:szCs w:val="24"/>
        </w:rPr>
        <w:t>across borders.</w:t>
      </w:r>
      <w:r w:rsidR="00191F1A">
        <w:rPr>
          <w:rFonts w:ascii="Times New Roman" w:eastAsia="Montserrat" w:hAnsi="Times New Roman" w:cs="Times New Roman"/>
          <w:szCs w:val="24"/>
        </w:rPr>
        <w:t xml:space="preserve"> </w:t>
      </w:r>
      <w:r w:rsidR="002C0506">
        <w:rPr>
          <w:rFonts w:ascii="Times New Roman" w:eastAsia="Montserrat" w:hAnsi="Times New Roman" w:cs="Times New Roman"/>
          <w:szCs w:val="24"/>
        </w:rPr>
        <w:t xml:space="preserve">Again, the participation of Indigenous peoples across South Asian borders </w:t>
      </w:r>
      <w:r w:rsidR="00940172">
        <w:rPr>
          <w:rFonts w:ascii="Times New Roman" w:eastAsia="Montserrat" w:hAnsi="Times New Roman" w:cs="Times New Roman"/>
          <w:szCs w:val="24"/>
        </w:rPr>
        <w:t>remains imperative.</w:t>
      </w:r>
      <w:r w:rsidR="006705C4">
        <w:rPr>
          <w:rFonts w:ascii="Times New Roman" w:eastAsia="Montserrat" w:hAnsi="Times New Roman" w:cs="Times New Roman"/>
          <w:szCs w:val="24"/>
        </w:rPr>
        <w:t xml:space="preserve"> </w:t>
      </w:r>
      <w:r w:rsidR="007D3AE8">
        <w:rPr>
          <w:rFonts w:ascii="Times New Roman" w:eastAsia="Montserrat" w:hAnsi="Times New Roman" w:cs="Times New Roman"/>
          <w:szCs w:val="24"/>
        </w:rPr>
        <w:t xml:space="preserve">The authors appeal to </w:t>
      </w:r>
      <w:r w:rsidR="00783F68">
        <w:rPr>
          <w:rFonts w:ascii="Times New Roman" w:eastAsia="Montserrat" w:hAnsi="Times New Roman" w:cs="Times New Roman"/>
          <w:szCs w:val="24"/>
        </w:rPr>
        <w:t xml:space="preserve">coalitions like </w:t>
      </w:r>
      <w:r w:rsidR="006705C4" w:rsidRPr="006705C4">
        <w:rPr>
          <w:rFonts w:ascii="Times New Roman" w:eastAsia="Montserrat" w:hAnsi="Times New Roman" w:cs="Times New Roman"/>
          <w:szCs w:val="24"/>
        </w:rPr>
        <w:t xml:space="preserve">Transform Health and </w:t>
      </w:r>
      <w:r w:rsidR="00783F68">
        <w:rPr>
          <w:rFonts w:ascii="Times New Roman" w:eastAsia="Montserrat" w:hAnsi="Times New Roman" w:cs="Times New Roman"/>
          <w:szCs w:val="24"/>
        </w:rPr>
        <w:t>others to ensure that Indigenous people</w:t>
      </w:r>
      <w:r w:rsidR="002900A3">
        <w:rPr>
          <w:rFonts w:ascii="Times New Roman" w:eastAsia="Montserrat" w:hAnsi="Times New Roman" w:cs="Times New Roman"/>
          <w:szCs w:val="24"/>
        </w:rPr>
        <w:t>s’ interest and participation are ensured in the development of the</w:t>
      </w:r>
      <w:r w:rsidR="006705C4" w:rsidRPr="006705C4">
        <w:rPr>
          <w:rFonts w:ascii="Times New Roman" w:eastAsia="Montserrat" w:hAnsi="Times New Roman" w:cs="Times New Roman"/>
          <w:szCs w:val="24"/>
        </w:rPr>
        <w:t xml:space="preserve"> global (and regional) health data governance framework</w:t>
      </w:r>
      <w:r w:rsidR="008A0744">
        <w:rPr>
          <w:rFonts w:ascii="Times New Roman" w:eastAsia="Montserrat" w:hAnsi="Times New Roman" w:cs="Times New Roman"/>
          <w:szCs w:val="24"/>
        </w:rPr>
        <w:t>, including a model law,</w:t>
      </w:r>
      <w:r w:rsidR="006705C4" w:rsidRPr="006705C4">
        <w:rPr>
          <w:rFonts w:ascii="Times New Roman" w:eastAsia="Montserrat" w:hAnsi="Times New Roman" w:cs="Times New Roman"/>
          <w:szCs w:val="24"/>
        </w:rPr>
        <w:t xml:space="preserve"> t</w:t>
      </w:r>
      <w:r w:rsidR="002900A3">
        <w:rPr>
          <w:rFonts w:ascii="Times New Roman" w:eastAsia="Montserrat" w:hAnsi="Times New Roman" w:cs="Times New Roman"/>
          <w:szCs w:val="24"/>
        </w:rPr>
        <w:t xml:space="preserve">hat they advocate for </w:t>
      </w:r>
      <w:r w:rsidR="008A0744">
        <w:rPr>
          <w:rFonts w:ascii="Times New Roman" w:eastAsia="Montserrat" w:hAnsi="Times New Roman" w:cs="Times New Roman"/>
          <w:szCs w:val="24"/>
        </w:rPr>
        <w:t>t</w:t>
      </w:r>
      <w:r w:rsidR="006705C4" w:rsidRPr="006705C4">
        <w:rPr>
          <w:rFonts w:ascii="Times New Roman" w:eastAsia="Montserrat" w:hAnsi="Times New Roman" w:cs="Times New Roman"/>
          <w:szCs w:val="24"/>
        </w:rPr>
        <w:t>o be developed and endorsed by governments</w:t>
      </w:r>
      <w:r w:rsidR="00A51267">
        <w:rPr>
          <w:rFonts w:ascii="Times New Roman" w:eastAsia="Montserrat" w:hAnsi="Times New Roman" w:cs="Times New Roman"/>
          <w:szCs w:val="24"/>
        </w:rPr>
        <w:t xml:space="preserve">. </w:t>
      </w:r>
    </w:p>
    <w:p w14:paraId="71B70FFD" w14:textId="308A4198" w:rsidR="001A3860" w:rsidRPr="001A3860" w:rsidRDefault="001A3860" w:rsidP="00314B11">
      <w:pPr>
        <w:pStyle w:val="NormalWeb"/>
        <w:spacing w:before="0" w:beforeAutospacing="0" w:after="120" w:afterAutospacing="0"/>
        <w:jc w:val="both"/>
        <w:rPr>
          <w:b/>
          <w:bCs/>
        </w:rPr>
      </w:pPr>
      <w:r w:rsidRPr="001A3860">
        <w:rPr>
          <w:b/>
          <w:bCs/>
        </w:rPr>
        <w:t>Conclusion</w:t>
      </w:r>
    </w:p>
    <w:p w14:paraId="3E80A690" w14:textId="037DEB0A" w:rsidR="000D4766" w:rsidRDefault="002E5F31" w:rsidP="00314B11">
      <w:pPr>
        <w:pStyle w:val="NormalWeb"/>
        <w:spacing w:before="0" w:beforeAutospacing="0" w:after="120" w:afterAutospacing="0"/>
        <w:jc w:val="both"/>
      </w:pPr>
      <w:r>
        <w:t xml:space="preserve">The </w:t>
      </w:r>
      <w:r w:rsidR="006351B3">
        <w:t>arguments and examples</w:t>
      </w:r>
      <w:r>
        <w:t xml:space="preserve"> </w:t>
      </w:r>
      <w:r w:rsidR="00446A97">
        <w:t xml:space="preserve">discussed in this paper </w:t>
      </w:r>
      <w:r>
        <w:t xml:space="preserve">underscore the importance of robust data governance frameworks to protect the rights and interests of </w:t>
      </w:r>
      <w:r w:rsidR="00057102">
        <w:t>Indigenous</w:t>
      </w:r>
      <w:r>
        <w:t xml:space="preserve"> peoples in South Asia.</w:t>
      </w:r>
      <w:r w:rsidR="00446A97">
        <w:t xml:space="preserve"> </w:t>
      </w:r>
      <w:r w:rsidR="00AD005A">
        <w:rPr>
          <w:color w:val="000000"/>
          <w:shd w:val="clear" w:color="auto" w:fill="FFFFFF"/>
        </w:rPr>
        <w:t>Only truly inclusive processes for the d</w:t>
      </w:r>
      <w:r w:rsidR="001A696F">
        <w:rPr>
          <w:color w:val="000000"/>
          <w:shd w:val="clear" w:color="auto" w:fill="FFFFFF"/>
        </w:rPr>
        <w:t>evelopment</w:t>
      </w:r>
      <w:r w:rsidR="00AD005A">
        <w:rPr>
          <w:color w:val="000000"/>
          <w:shd w:val="clear" w:color="auto" w:fill="FFFFFF"/>
        </w:rPr>
        <w:t xml:space="preserve"> of health data governance frameworks can ensure protection for such communities against data-related harm, discrimination and exploitation.</w:t>
      </w:r>
      <w:r w:rsidR="00AD005A" w:rsidRPr="0059775C">
        <w:rPr>
          <w:color w:val="000000"/>
          <w:shd w:val="clear" w:color="auto" w:fill="FFFFFF"/>
        </w:rPr>
        <w:t xml:space="preserve"> </w:t>
      </w:r>
      <w:r w:rsidR="00AD005A">
        <w:rPr>
          <w:color w:val="111111"/>
        </w:rPr>
        <w:t>While equitable frameworks can ensure reliable electronic health record systems</w:t>
      </w:r>
      <w:r w:rsidR="00487F29">
        <w:rPr>
          <w:color w:val="111111"/>
        </w:rPr>
        <w:t xml:space="preserve"> </w:t>
      </w:r>
      <w:r w:rsidR="00AD005A">
        <w:rPr>
          <w:color w:val="111111"/>
        </w:rPr>
        <w:t xml:space="preserve">vital for predictive analytics to </w:t>
      </w:r>
      <w:r w:rsidR="00AD005A" w:rsidRPr="009F554A">
        <w:rPr>
          <w:color w:val="000000"/>
          <w:shd w:val="clear" w:color="auto" w:fill="FFFFFF"/>
        </w:rPr>
        <w:t xml:space="preserve">help identify trends, patterns and potential </w:t>
      </w:r>
      <w:r w:rsidR="00AD005A">
        <w:rPr>
          <w:color w:val="000000"/>
          <w:shd w:val="clear" w:color="auto" w:fill="FFFFFF"/>
        </w:rPr>
        <w:t>he</w:t>
      </w:r>
      <w:r w:rsidR="00AD005A" w:rsidRPr="009F554A">
        <w:rPr>
          <w:color w:val="000000"/>
          <w:shd w:val="clear" w:color="auto" w:fill="FFFFFF"/>
        </w:rPr>
        <w:t>alth risk</w:t>
      </w:r>
      <w:r w:rsidR="00AD005A">
        <w:rPr>
          <w:color w:val="000000"/>
          <w:shd w:val="clear" w:color="auto" w:fill="FFFFFF"/>
        </w:rPr>
        <w:t xml:space="preserve">s, skewed and/or underrepresented data can misrepresent their unique health needs. </w:t>
      </w:r>
      <w:r w:rsidR="00B126B8">
        <w:rPr>
          <w:color w:val="111111"/>
        </w:rPr>
        <w:t>A</w:t>
      </w:r>
      <w:r w:rsidR="001B3548">
        <w:rPr>
          <w:color w:val="111111"/>
        </w:rPr>
        <w:t xml:space="preserve"> recent </w:t>
      </w:r>
      <w:r w:rsidR="00FB130B">
        <w:rPr>
          <w:color w:val="111111"/>
        </w:rPr>
        <w:t xml:space="preserve">surge in </w:t>
      </w:r>
      <w:r w:rsidR="00AA4A10">
        <w:rPr>
          <w:color w:val="111111"/>
        </w:rPr>
        <w:t xml:space="preserve">advocacy by </w:t>
      </w:r>
      <w:r w:rsidR="001B3548">
        <w:rPr>
          <w:color w:val="111111"/>
        </w:rPr>
        <w:t>champions</w:t>
      </w:r>
      <w:r w:rsidR="00B126B8">
        <w:rPr>
          <w:color w:val="111111"/>
        </w:rPr>
        <w:t xml:space="preserve"> </w:t>
      </w:r>
      <w:r w:rsidR="00FB130B">
        <w:rPr>
          <w:color w:val="111111"/>
        </w:rPr>
        <w:t xml:space="preserve">from these communities </w:t>
      </w:r>
      <w:r w:rsidR="00E0651D">
        <w:rPr>
          <w:color w:val="111111"/>
        </w:rPr>
        <w:t xml:space="preserve">has led to </w:t>
      </w:r>
      <w:r w:rsidR="006320A8">
        <w:rPr>
          <w:color w:val="000000"/>
          <w:shd w:val="clear" w:color="auto" w:fill="FFFFFF"/>
        </w:rPr>
        <w:t>a more pronounced voice seeking</w:t>
      </w:r>
      <w:r w:rsidR="00DD77E7">
        <w:rPr>
          <w:color w:val="000000"/>
          <w:shd w:val="clear" w:color="auto" w:fill="FFFFFF"/>
        </w:rPr>
        <w:t xml:space="preserve"> equitable benefits from health data </w:t>
      </w:r>
      <w:r w:rsidR="0025177D">
        <w:rPr>
          <w:color w:val="000000"/>
          <w:shd w:val="clear" w:color="auto" w:fill="FFFFFF"/>
        </w:rPr>
        <w:t xml:space="preserve">based on increased calls for </w:t>
      </w:r>
      <w:r w:rsidR="00DD77E7">
        <w:rPr>
          <w:color w:val="000000"/>
          <w:shd w:val="clear" w:color="auto" w:fill="FFFFFF"/>
        </w:rPr>
        <w:t>data ownership and custodianship.</w:t>
      </w:r>
      <w:r w:rsidR="00DD77E7" w:rsidRPr="00551EA1">
        <w:rPr>
          <w:color w:val="000000"/>
          <w:shd w:val="clear" w:color="auto" w:fill="FFFFFF"/>
        </w:rPr>
        <w:t xml:space="preserve"> </w:t>
      </w:r>
      <w:r w:rsidR="001969B3">
        <w:rPr>
          <w:color w:val="000000"/>
          <w:shd w:val="clear" w:color="auto" w:fill="FFFFFF"/>
        </w:rPr>
        <w:t xml:space="preserve">That </w:t>
      </w:r>
      <w:r w:rsidR="00DD77E7">
        <w:rPr>
          <w:color w:val="000000"/>
          <w:shd w:val="clear" w:color="auto" w:fill="FFFFFF"/>
        </w:rPr>
        <w:t xml:space="preserve">they now seek </w:t>
      </w:r>
      <w:r w:rsidR="001969B3">
        <w:rPr>
          <w:color w:val="000000"/>
          <w:shd w:val="clear" w:color="auto" w:fill="FFFFFF"/>
        </w:rPr>
        <w:t xml:space="preserve">and </w:t>
      </w:r>
      <w:r w:rsidR="00F60B9E">
        <w:rPr>
          <w:color w:val="000000"/>
          <w:shd w:val="clear" w:color="auto" w:fill="FFFFFF"/>
        </w:rPr>
        <w:t xml:space="preserve">secure </w:t>
      </w:r>
      <w:r w:rsidR="00DD77E7">
        <w:rPr>
          <w:color w:val="000000"/>
          <w:shd w:val="clear" w:color="auto" w:fill="FFFFFF"/>
        </w:rPr>
        <w:t>a seat at regional, national and sub-national policy debates that relate to data governance frameworks</w:t>
      </w:r>
      <w:r w:rsidR="00F60B9E">
        <w:rPr>
          <w:color w:val="000000"/>
          <w:shd w:val="clear" w:color="auto" w:fill="FFFFFF"/>
        </w:rPr>
        <w:t xml:space="preserve"> is a positive result</w:t>
      </w:r>
      <w:r w:rsidR="00423BA0">
        <w:rPr>
          <w:color w:val="000000"/>
          <w:shd w:val="clear" w:color="auto" w:fill="FFFFFF"/>
        </w:rPr>
        <w:t xml:space="preserve"> emanating from such advocacy</w:t>
      </w:r>
      <w:r w:rsidR="00DD77E7">
        <w:rPr>
          <w:color w:val="000000"/>
          <w:shd w:val="clear" w:color="auto" w:fill="FFFFFF"/>
        </w:rPr>
        <w:t>.</w:t>
      </w:r>
      <w:r w:rsidR="00C6697B" w:rsidRPr="00C6697B">
        <w:t xml:space="preserve"> </w:t>
      </w:r>
      <w:r w:rsidR="00EA1F59">
        <w:t>In conclusion</w:t>
      </w:r>
      <w:r w:rsidR="00E261D0">
        <w:t xml:space="preserve">, a significant step towards achieving health equity and justice for </w:t>
      </w:r>
      <w:r w:rsidR="00057102">
        <w:t>Indigenous</w:t>
      </w:r>
      <w:r w:rsidR="00E261D0">
        <w:t xml:space="preserve"> peoples of South Asia can be </w:t>
      </w:r>
      <w:r w:rsidR="00D903A8">
        <w:t xml:space="preserve">achieved by </w:t>
      </w:r>
      <w:r w:rsidR="00C6697B">
        <w:t>prioritizing health data sovereignty</w:t>
      </w:r>
      <w:r w:rsidR="003928FF">
        <w:t xml:space="preserve"> within </w:t>
      </w:r>
      <w:r w:rsidR="005812F7">
        <w:t>global, regional and national data governance frameworks</w:t>
      </w:r>
      <w:r w:rsidR="00C6697B">
        <w:t>.</w:t>
      </w:r>
    </w:p>
    <w:p w14:paraId="7928A4F8" w14:textId="77777777" w:rsidR="000D4766" w:rsidRDefault="000D4766" w:rsidP="00314B11">
      <w:pPr>
        <w:pStyle w:val="NormalWeb"/>
        <w:spacing w:before="0" w:beforeAutospacing="0" w:after="120" w:afterAutospacing="0"/>
        <w:jc w:val="both"/>
      </w:pPr>
    </w:p>
    <w:p w14:paraId="0887869E" w14:textId="77777777" w:rsidR="00A0219F" w:rsidRDefault="00A0219F" w:rsidP="00314B11">
      <w:pPr>
        <w:spacing w:after="120" w:line="240" w:lineRule="auto"/>
        <w:jc w:val="both"/>
      </w:pPr>
    </w:p>
    <w:sectPr w:rsidR="00A0219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D7DB" w14:textId="77777777" w:rsidR="000E5A2E" w:rsidRDefault="000E5A2E" w:rsidP="00415C63">
      <w:pPr>
        <w:spacing w:after="0" w:line="240" w:lineRule="auto"/>
      </w:pPr>
      <w:r>
        <w:separator/>
      </w:r>
    </w:p>
  </w:endnote>
  <w:endnote w:type="continuationSeparator" w:id="0">
    <w:p w14:paraId="61AEFC84" w14:textId="77777777" w:rsidR="000E5A2E" w:rsidRDefault="000E5A2E" w:rsidP="0041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875019"/>
      <w:docPartObj>
        <w:docPartGallery w:val="Page Numbers (Bottom of Page)"/>
        <w:docPartUnique/>
      </w:docPartObj>
    </w:sdtPr>
    <w:sdtEndPr>
      <w:rPr>
        <w:noProof/>
      </w:rPr>
    </w:sdtEndPr>
    <w:sdtContent>
      <w:p w14:paraId="5886EE0F" w14:textId="398D958F" w:rsidR="00415C63" w:rsidRDefault="00415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D2905" w14:textId="77777777" w:rsidR="00415C63" w:rsidRDefault="00415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129D" w14:textId="77777777" w:rsidR="000E5A2E" w:rsidRDefault="000E5A2E" w:rsidP="00415C63">
      <w:pPr>
        <w:spacing w:after="0" w:line="240" w:lineRule="auto"/>
      </w:pPr>
      <w:r>
        <w:separator/>
      </w:r>
    </w:p>
  </w:footnote>
  <w:footnote w:type="continuationSeparator" w:id="0">
    <w:p w14:paraId="7A7E22C6" w14:textId="77777777" w:rsidR="000E5A2E" w:rsidRDefault="000E5A2E" w:rsidP="00415C63">
      <w:pPr>
        <w:spacing w:after="0" w:line="240" w:lineRule="auto"/>
      </w:pPr>
      <w:r>
        <w:continuationSeparator/>
      </w:r>
    </w:p>
  </w:footnote>
  <w:footnote w:id="1">
    <w:p w14:paraId="5DD17414" w14:textId="48DDEB60" w:rsidR="00482AE5" w:rsidRDefault="00482AE5">
      <w:pPr>
        <w:pStyle w:val="FootnoteText"/>
      </w:pPr>
      <w:r>
        <w:rPr>
          <w:rStyle w:val="FootnoteReference"/>
        </w:rPr>
        <w:footnoteRef/>
      </w:r>
      <w:r>
        <w:t xml:space="preserve"> </w:t>
      </w:r>
      <w:hyperlink r:id="rId1" w:history="1">
        <w:r>
          <w:rPr>
            <w:rStyle w:val="Hyperlink"/>
          </w:rPr>
          <w:t>Improving mental ill-health with psycho-social group interventions in South Asia–A scoping review using a realist lens | PLOS Global Public Health</w:t>
        </w:r>
      </w:hyperlink>
    </w:p>
  </w:footnote>
  <w:footnote w:id="2">
    <w:p w14:paraId="4CD81B3C" w14:textId="47A97560" w:rsidR="00CE325F" w:rsidRDefault="00CE325F">
      <w:pPr>
        <w:pStyle w:val="FootnoteText"/>
      </w:pPr>
      <w:r>
        <w:rPr>
          <w:rStyle w:val="FootnoteReference"/>
        </w:rPr>
        <w:footnoteRef/>
      </w:r>
      <w:r>
        <w:t xml:space="preserve"> </w:t>
      </w:r>
      <w:hyperlink r:id="rId2" w:history="1">
        <w:r>
          <w:rPr>
            <w:rStyle w:val="Hyperlink"/>
          </w:rPr>
          <w:t>Traditional Medicine Practice Across Asia, Examples of Non-Western Approaches - International Association for the Study of Pain (IASP)</w:t>
        </w:r>
      </w:hyperlink>
    </w:p>
  </w:footnote>
  <w:footnote w:id="3">
    <w:p w14:paraId="72AA7AB3" w14:textId="0AC1F811" w:rsidR="0041176C" w:rsidRDefault="0041176C">
      <w:pPr>
        <w:pStyle w:val="FootnoteText"/>
      </w:pPr>
      <w:r>
        <w:rPr>
          <w:rStyle w:val="FootnoteReference"/>
        </w:rPr>
        <w:footnoteRef/>
      </w:r>
      <w:r>
        <w:t xml:space="preserve"> </w:t>
      </w:r>
      <w:hyperlink r:id="rId3" w:history="1">
        <w:r>
          <w:rPr>
            <w:rStyle w:val="Hyperlink"/>
          </w:rPr>
          <w:t>The Health of Indigenous Populations in South Asia: A Critical Review in a Critical Time</w:t>
        </w:r>
      </w:hyperlink>
    </w:p>
  </w:footnote>
  <w:footnote w:id="4">
    <w:p w14:paraId="1CA704ED" w14:textId="38307A76" w:rsidR="00054A78" w:rsidRDefault="00054A78">
      <w:pPr>
        <w:pStyle w:val="FootnoteText"/>
      </w:pPr>
      <w:r>
        <w:rPr>
          <w:rStyle w:val="FootnoteReference"/>
        </w:rPr>
        <w:footnoteRef/>
      </w:r>
      <w:r>
        <w:t xml:space="preserve"> </w:t>
      </w:r>
      <w:hyperlink r:id="rId4" w:history="1">
        <w:r>
          <w:rPr>
            <w:rStyle w:val="Hyperlink"/>
          </w:rPr>
          <w:t>From exploitation to empowerment: how researchers can protect Indigenous peoples’ rights to own and control their data</w:t>
        </w:r>
      </w:hyperlink>
    </w:p>
  </w:footnote>
  <w:footnote w:id="5">
    <w:p w14:paraId="44CF7A6E" w14:textId="6DED72B9" w:rsidR="00F67284" w:rsidRDefault="00F67284">
      <w:pPr>
        <w:pStyle w:val="FootnoteText"/>
      </w:pPr>
      <w:r>
        <w:rPr>
          <w:rStyle w:val="FootnoteReference"/>
        </w:rPr>
        <w:footnoteRef/>
      </w:r>
      <w:r>
        <w:t xml:space="preserve"> </w:t>
      </w:r>
      <w:hyperlink r:id="rId5" w:history="1">
        <w:r>
          <w:rPr>
            <w:rStyle w:val="Hyperlink"/>
          </w:rPr>
          <w:t>Tracing the Disparity Between Healthcare Policy–Based Infrastructure and Health Belief–Lead Practices: a Narrative Review on Indigenous Populations of India | Journal of Racial and Ethnic Health Disparities</w:t>
        </w:r>
      </w:hyperlink>
    </w:p>
  </w:footnote>
  <w:footnote w:id="6">
    <w:p w14:paraId="0AE516C0" w14:textId="29C2D2A9" w:rsidR="003929D6" w:rsidRDefault="003929D6">
      <w:pPr>
        <w:pStyle w:val="FootnoteText"/>
      </w:pPr>
      <w:r>
        <w:rPr>
          <w:rStyle w:val="FootnoteReference"/>
        </w:rPr>
        <w:footnoteRef/>
      </w:r>
      <w:hyperlink r:id="rId6" w:history="1">
        <w:r>
          <w:rPr>
            <w:rStyle w:val="Hyperlink"/>
          </w:rPr>
          <w:t>The Health of Indigenous Populations in South Asia: A Critical Review in a Critical Time</w:t>
        </w:r>
      </w:hyperlink>
      <w:r>
        <w:t xml:space="preserve"> </w:t>
      </w:r>
    </w:p>
  </w:footnote>
  <w:footnote w:id="7">
    <w:p w14:paraId="00B5F689" w14:textId="39C61EA8" w:rsidR="00371D2B" w:rsidRDefault="00371D2B">
      <w:pPr>
        <w:pStyle w:val="FootnoteText"/>
      </w:pPr>
      <w:r>
        <w:rPr>
          <w:rStyle w:val="FootnoteReference"/>
        </w:rPr>
        <w:footnoteRef/>
      </w:r>
      <w:r>
        <w:t xml:space="preserve"> </w:t>
      </w:r>
      <w:hyperlink r:id="rId7" w:history="1">
        <w:r>
          <w:rPr>
            <w:rStyle w:val="Hyperlink"/>
          </w:rPr>
          <w:t>Updated and Expanded Selected Readings on Indigenous Data Sovereignty | THE GOVLAB BLOG</w:t>
        </w:r>
      </w:hyperlink>
    </w:p>
  </w:footnote>
  <w:footnote w:id="8">
    <w:p w14:paraId="6E991323" w14:textId="469B329B" w:rsidR="00371D2B" w:rsidRDefault="00371D2B">
      <w:pPr>
        <w:pStyle w:val="FootnoteText"/>
      </w:pPr>
      <w:r>
        <w:rPr>
          <w:rStyle w:val="FootnoteReference"/>
        </w:rPr>
        <w:footnoteRef/>
      </w:r>
      <w:r>
        <w:t xml:space="preserve"> </w:t>
      </w:r>
      <w:hyperlink r:id="rId8" w:history="1">
        <w:r>
          <w:rPr>
            <w:rStyle w:val="Hyperlink"/>
          </w:rPr>
          <w:t>Updated and Expanded Selected Readings on Indigenous Data Sovereignty | THE GOVLAB BLOG</w:t>
        </w:r>
      </w:hyperlink>
    </w:p>
  </w:footnote>
  <w:footnote w:id="9">
    <w:p w14:paraId="205568C2" w14:textId="6CB27C0B" w:rsidR="0089572D" w:rsidRDefault="0089572D">
      <w:pPr>
        <w:pStyle w:val="FootnoteText"/>
      </w:pPr>
      <w:r>
        <w:rPr>
          <w:rStyle w:val="FootnoteReference"/>
        </w:rPr>
        <w:footnoteRef/>
      </w:r>
      <w:r>
        <w:t xml:space="preserve"> </w:t>
      </w:r>
      <w:hyperlink r:id="rId9" w:history="1">
        <w:r>
          <w:rPr>
            <w:rStyle w:val="Hyperlink"/>
          </w:rPr>
          <w:t>Nations agree landmark treaty on traditional knowledge, protecting Indigenous Peoples’ rights | UN News</w:t>
        </w:r>
      </w:hyperlink>
    </w:p>
  </w:footnote>
  <w:footnote w:id="10">
    <w:p w14:paraId="36A5080C" w14:textId="2B51DEF4" w:rsidR="00683B8E" w:rsidRDefault="00683B8E">
      <w:pPr>
        <w:pStyle w:val="FootnoteText"/>
      </w:pPr>
      <w:r>
        <w:rPr>
          <w:rStyle w:val="FootnoteReference"/>
        </w:rPr>
        <w:footnoteRef/>
      </w:r>
      <w:r>
        <w:t xml:space="preserve"> </w:t>
      </w:r>
      <w:hyperlink r:id="rId10" w:history="1">
        <w:r>
          <w:rPr>
            <w:rStyle w:val="Hyperlink"/>
          </w:rPr>
          <w:t>Intellectual Property and Traditional Medical Knowledge</w:t>
        </w:r>
      </w:hyperlink>
    </w:p>
  </w:footnote>
  <w:footnote w:id="11">
    <w:p w14:paraId="479112D5" w14:textId="29221F3B" w:rsidR="00683B8E" w:rsidRDefault="00683B8E">
      <w:pPr>
        <w:pStyle w:val="FootnoteText"/>
      </w:pPr>
      <w:r>
        <w:rPr>
          <w:rStyle w:val="FootnoteReference"/>
        </w:rPr>
        <w:footnoteRef/>
      </w:r>
      <w:hyperlink r:id="rId11" w:history="1">
        <w:r>
          <w:rPr>
            <w:rStyle w:val="Hyperlink"/>
          </w:rPr>
          <w:t>Intellectual Property and Traditional Medical Knowledge</w:t>
        </w:r>
      </w:hyperlink>
      <w:r>
        <w:t xml:space="preserve"> </w:t>
      </w:r>
    </w:p>
  </w:footnote>
  <w:footnote w:id="12">
    <w:p w14:paraId="3F725AC9" w14:textId="404505D2" w:rsidR="00683B8E" w:rsidRDefault="00683B8E">
      <w:pPr>
        <w:pStyle w:val="FootnoteText"/>
      </w:pPr>
      <w:r>
        <w:rPr>
          <w:rStyle w:val="FootnoteReference"/>
        </w:rPr>
        <w:footnoteRef/>
      </w:r>
      <w:hyperlink r:id="rId12" w:history="1">
        <w:r>
          <w:rPr>
            <w:rStyle w:val="Hyperlink"/>
          </w:rPr>
          <w:t>Intellectual Property and Traditional Medical Knowledge</w:t>
        </w:r>
      </w:hyperlink>
      <w:r>
        <w:t xml:space="preserve"> </w:t>
      </w:r>
    </w:p>
  </w:footnote>
  <w:footnote w:id="13">
    <w:p w14:paraId="7924426B" w14:textId="2F81080E" w:rsidR="0053276C" w:rsidRDefault="0053276C">
      <w:pPr>
        <w:pStyle w:val="FootnoteText"/>
      </w:pPr>
      <w:r>
        <w:rPr>
          <w:rStyle w:val="FootnoteReference"/>
        </w:rPr>
        <w:footnoteRef/>
      </w:r>
      <w:r>
        <w:t xml:space="preserve"> </w:t>
      </w:r>
      <w:hyperlink r:id="rId13" w:history="1">
        <w:r>
          <w:rPr>
            <w:rStyle w:val="Hyperlink"/>
          </w:rPr>
          <w:t>UN Declaration on the Rights of Indigenous Peoples | OHCHR</w:t>
        </w:r>
      </w:hyperlink>
    </w:p>
  </w:footnote>
  <w:footnote w:id="14">
    <w:p w14:paraId="3EA717FE" w14:textId="3DB02EF5" w:rsidR="00DC2AF9" w:rsidRDefault="00DC2AF9">
      <w:pPr>
        <w:pStyle w:val="FootnoteText"/>
      </w:pPr>
      <w:r>
        <w:rPr>
          <w:rStyle w:val="FootnoteReference"/>
        </w:rPr>
        <w:footnoteRef/>
      </w:r>
      <w:r>
        <w:t xml:space="preserve"> </w:t>
      </w:r>
      <w:hyperlink r:id="rId14" w:history="1">
        <w:r>
          <w:rPr>
            <w:rStyle w:val="Hyperlink"/>
          </w:rPr>
          <w:t>Microsoft Word - JIHLBP8_11_07.doc</w:t>
        </w:r>
      </w:hyperlink>
    </w:p>
  </w:footnote>
  <w:footnote w:id="15">
    <w:p w14:paraId="446C5A08" w14:textId="3A42AD97" w:rsidR="00B56AFF" w:rsidRDefault="00B56AFF">
      <w:pPr>
        <w:pStyle w:val="FootnoteText"/>
      </w:pPr>
      <w:r>
        <w:rPr>
          <w:rStyle w:val="FootnoteReference"/>
        </w:rPr>
        <w:footnoteRef/>
      </w:r>
      <w:r>
        <w:t xml:space="preserve"> </w:t>
      </w:r>
      <w:hyperlink r:id="rId15" w:history="1">
        <w:r>
          <w:rPr>
            <w:rStyle w:val="Hyperlink"/>
          </w:rPr>
          <w:t>CARE Principles for Indigenous Data Governance | ARDC</w:t>
        </w:r>
      </w:hyperlink>
    </w:p>
  </w:footnote>
  <w:footnote w:id="16">
    <w:p w14:paraId="4FCAD36C" w14:textId="7771808F" w:rsidR="00DB2EA7" w:rsidRDefault="00DB2EA7">
      <w:pPr>
        <w:pStyle w:val="FootnoteText"/>
      </w:pPr>
      <w:r>
        <w:rPr>
          <w:rStyle w:val="FootnoteReference"/>
        </w:rPr>
        <w:footnoteRef/>
      </w:r>
      <w:r>
        <w:t xml:space="preserve"> </w:t>
      </w:r>
      <w:hyperlink r:id="rId16" w:history="1">
        <w:r>
          <w:rPr>
            <w:rStyle w:val="Hyperlink"/>
          </w:rPr>
          <w:t>CARE Principles for Indigenous Data Governance_FINAL_Sept 06 2019.pdf</w:t>
        </w:r>
      </w:hyperlink>
    </w:p>
  </w:footnote>
  <w:footnote w:id="17">
    <w:p w14:paraId="26B2C268" w14:textId="2BF477F9" w:rsidR="008568A2" w:rsidRDefault="008568A2">
      <w:pPr>
        <w:pStyle w:val="FootnoteText"/>
      </w:pPr>
      <w:r>
        <w:rPr>
          <w:rStyle w:val="FootnoteReference"/>
        </w:rPr>
        <w:footnoteRef/>
      </w:r>
      <w:r>
        <w:t xml:space="preserve"> </w:t>
      </w:r>
      <w:hyperlink r:id="rId17" w:history="1">
        <w:r>
          <w:rPr>
            <w:rStyle w:val="Hyperlink"/>
          </w:rPr>
          <w:t>Are we missing anyone? Indigenous peoples in the Global Digital Compact and Summit of the Future  | Global Information Society Watch</w:t>
        </w:r>
      </w:hyperlink>
    </w:p>
  </w:footnote>
  <w:footnote w:id="18">
    <w:p w14:paraId="2FC66A37" w14:textId="5F018D5D" w:rsidR="006327DC" w:rsidRDefault="006327DC">
      <w:pPr>
        <w:pStyle w:val="FootnoteText"/>
      </w:pPr>
      <w:r>
        <w:rPr>
          <w:rStyle w:val="FootnoteReference"/>
        </w:rPr>
        <w:footnoteRef/>
      </w:r>
      <w:r>
        <w:t xml:space="preserve"> </w:t>
      </w:r>
      <w:hyperlink r:id="rId18" w:history="1">
        <w:r>
          <w:rPr>
            <w:rStyle w:val="Hyperlink"/>
          </w:rPr>
          <w:t>Global Indigenous Data Alliance</w:t>
        </w:r>
      </w:hyperlink>
    </w:p>
  </w:footnote>
  <w:footnote w:id="19">
    <w:p w14:paraId="16516127" w14:textId="7DC0424E" w:rsidR="00DA27BD" w:rsidRDefault="00DA27BD">
      <w:pPr>
        <w:pStyle w:val="FootnoteText"/>
      </w:pPr>
      <w:r>
        <w:rPr>
          <w:rStyle w:val="FootnoteReference"/>
        </w:rPr>
        <w:footnoteRef/>
      </w:r>
      <w:r>
        <w:t xml:space="preserve"> </w:t>
      </w:r>
      <w:hyperlink r:id="rId19" w:history="1">
        <w:r>
          <w:rPr>
            <w:rStyle w:val="Hyperlink"/>
          </w:rPr>
          <w:t>Purpose — Global Indigenous Data Alliance</w:t>
        </w:r>
      </w:hyperlink>
    </w:p>
  </w:footnote>
  <w:footnote w:id="20">
    <w:p w14:paraId="43207610" w14:textId="3E5AA445" w:rsidR="00E44A0D" w:rsidRDefault="00E44A0D">
      <w:pPr>
        <w:pStyle w:val="FootnoteText"/>
      </w:pPr>
      <w:r>
        <w:rPr>
          <w:rStyle w:val="FootnoteReference"/>
        </w:rPr>
        <w:footnoteRef/>
      </w:r>
      <w:r>
        <w:t xml:space="preserve"> </w:t>
      </w:r>
      <w:hyperlink r:id="rId20" w:history="1">
        <w:r>
          <w:rPr>
            <w:rStyle w:val="Hyperlink"/>
          </w:rPr>
          <w:t>Asian Framework on Indigenous Knowledge and Data Sovereignty - Library records OD Mekong Datahub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4B52"/>
    <w:multiLevelType w:val="multilevel"/>
    <w:tmpl w:val="A23A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E2CBD"/>
    <w:multiLevelType w:val="multilevel"/>
    <w:tmpl w:val="2EEC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C60BD"/>
    <w:multiLevelType w:val="multilevel"/>
    <w:tmpl w:val="FE9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82909"/>
    <w:multiLevelType w:val="multilevel"/>
    <w:tmpl w:val="FC7C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337632"/>
    <w:multiLevelType w:val="multilevel"/>
    <w:tmpl w:val="6BFC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150E5"/>
    <w:multiLevelType w:val="multilevel"/>
    <w:tmpl w:val="35AA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9FF"/>
    <w:multiLevelType w:val="multilevel"/>
    <w:tmpl w:val="B1EE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082560">
    <w:abstractNumId w:val="6"/>
  </w:num>
  <w:num w:numId="2" w16cid:durableId="2010281076">
    <w:abstractNumId w:val="2"/>
  </w:num>
  <w:num w:numId="3" w16cid:durableId="1423406297">
    <w:abstractNumId w:val="5"/>
  </w:num>
  <w:num w:numId="4" w16cid:durableId="159472966">
    <w:abstractNumId w:val="4"/>
  </w:num>
  <w:num w:numId="5" w16cid:durableId="1343316387">
    <w:abstractNumId w:val="1"/>
  </w:num>
  <w:num w:numId="6" w16cid:durableId="419062069">
    <w:abstractNumId w:val="0"/>
  </w:num>
  <w:num w:numId="7" w16cid:durableId="788889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9F"/>
    <w:rsid w:val="00000DE1"/>
    <w:rsid w:val="00036141"/>
    <w:rsid w:val="0004258B"/>
    <w:rsid w:val="00045E8E"/>
    <w:rsid w:val="00047DC6"/>
    <w:rsid w:val="000538CE"/>
    <w:rsid w:val="00054A78"/>
    <w:rsid w:val="00057102"/>
    <w:rsid w:val="000638CC"/>
    <w:rsid w:val="00072F9B"/>
    <w:rsid w:val="000731B8"/>
    <w:rsid w:val="000806CE"/>
    <w:rsid w:val="000845C4"/>
    <w:rsid w:val="000872F1"/>
    <w:rsid w:val="0009365F"/>
    <w:rsid w:val="00097EB9"/>
    <w:rsid w:val="000A5BD9"/>
    <w:rsid w:val="000B430F"/>
    <w:rsid w:val="000D32B6"/>
    <w:rsid w:val="000D4766"/>
    <w:rsid w:val="000E01B3"/>
    <w:rsid w:val="000E0821"/>
    <w:rsid w:val="000E5A2E"/>
    <w:rsid w:val="000F5315"/>
    <w:rsid w:val="00100DFF"/>
    <w:rsid w:val="0011186B"/>
    <w:rsid w:val="001176AC"/>
    <w:rsid w:val="00132278"/>
    <w:rsid w:val="00133C21"/>
    <w:rsid w:val="001342AA"/>
    <w:rsid w:val="00147865"/>
    <w:rsid w:val="0015641C"/>
    <w:rsid w:val="00165AE0"/>
    <w:rsid w:val="001730B5"/>
    <w:rsid w:val="001731D8"/>
    <w:rsid w:val="00181AEB"/>
    <w:rsid w:val="00191CB5"/>
    <w:rsid w:val="00191F1A"/>
    <w:rsid w:val="00194F18"/>
    <w:rsid w:val="001969B3"/>
    <w:rsid w:val="001A3860"/>
    <w:rsid w:val="001A696F"/>
    <w:rsid w:val="001B3548"/>
    <w:rsid w:val="001C012A"/>
    <w:rsid w:val="001D104E"/>
    <w:rsid w:val="001D76F9"/>
    <w:rsid w:val="001D7899"/>
    <w:rsid w:val="001F296E"/>
    <w:rsid w:val="001F531E"/>
    <w:rsid w:val="00207352"/>
    <w:rsid w:val="00216158"/>
    <w:rsid w:val="002203AA"/>
    <w:rsid w:val="00226154"/>
    <w:rsid w:val="00240C6E"/>
    <w:rsid w:val="0024269D"/>
    <w:rsid w:val="0025177D"/>
    <w:rsid w:val="00252F4B"/>
    <w:rsid w:val="00270EB1"/>
    <w:rsid w:val="002900A3"/>
    <w:rsid w:val="00291A80"/>
    <w:rsid w:val="00297035"/>
    <w:rsid w:val="002A3546"/>
    <w:rsid w:val="002B0BEA"/>
    <w:rsid w:val="002B2A2E"/>
    <w:rsid w:val="002B33B5"/>
    <w:rsid w:val="002C0506"/>
    <w:rsid w:val="002C67FC"/>
    <w:rsid w:val="002E5F31"/>
    <w:rsid w:val="0030379B"/>
    <w:rsid w:val="00305A22"/>
    <w:rsid w:val="00314B11"/>
    <w:rsid w:val="00320231"/>
    <w:rsid w:val="003434A1"/>
    <w:rsid w:val="00361423"/>
    <w:rsid w:val="00371D2B"/>
    <w:rsid w:val="00375AF0"/>
    <w:rsid w:val="003771DF"/>
    <w:rsid w:val="00381EED"/>
    <w:rsid w:val="003928FF"/>
    <w:rsid w:val="003929D6"/>
    <w:rsid w:val="003A5550"/>
    <w:rsid w:val="003A5647"/>
    <w:rsid w:val="003D2BFE"/>
    <w:rsid w:val="003E1711"/>
    <w:rsid w:val="003E7EF5"/>
    <w:rsid w:val="003F20EE"/>
    <w:rsid w:val="003F236C"/>
    <w:rsid w:val="00401CC3"/>
    <w:rsid w:val="0041176C"/>
    <w:rsid w:val="00415C63"/>
    <w:rsid w:val="004167FE"/>
    <w:rsid w:val="00417451"/>
    <w:rsid w:val="00423BA0"/>
    <w:rsid w:val="0043173D"/>
    <w:rsid w:val="004343F2"/>
    <w:rsid w:val="00436E1F"/>
    <w:rsid w:val="00440F41"/>
    <w:rsid w:val="00446A97"/>
    <w:rsid w:val="00447EC4"/>
    <w:rsid w:val="0045176F"/>
    <w:rsid w:val="00477387"/>
    <w:rsid w:val="00482AE5"/>
    <w:rsid w:val="00483F84"/>
    <w:rsid w:val="00485893"/>
    <w:rsid w:val="004861ED"/>
    <w:rsid w:val="00487F29"/>
    <w:rsid w:val="0049233D"/>
    <w:rsid w:val="00496380"/>
    <w:rsid w:val="0049710B"/>
    <w:rsid w:val="004A0A35"/>
    <w:rsid w:val="004A4787"/>
    <w:rsid w:val="004C11F8"/>
    <w:rsid w:val="004D6345"/>
    <w:rsid w:val="004E3F5A"/>
    <w:rsid w:val="004F0D75"/>
    <w:rsid w:val="004F6D52"/>
    <w:rsid w:val="005002AB"/>
    <w:rsid w:val="0050376F"/>
    <w:rsid w:val="00506B8A"/>
    <w:rsid w:val="00513076"/>
    <w:rsid w:val="0053276C"/>
    <w:rsid w:val="00534F9E"/>
    <w:rsid w:val="00536809"/>
    <w:rsid w:val="00544EA9"/>
    <w:rsid w:val="00547C23"/>
    <w:rsid w:val="00553514"/>
    <w:rsid w:val="0055593E"/>
    <w:rsid w:val="0057136E"/>
    <w:rsid w:val="005761A5"/>
    <w:rsid w:val="005812F7"/>
    <w:rsid w:val="00596998"/>
    <w:rsid w:val="005A7828"/>
    <w:rsid w:val="005D31E7"/>
    <w:rsid w:val="005E5B8C"/>
    <w:rsid w:val="005F2899"/>
    <w:rsid w:val="00610235"/>
    <w:rsid w:val="00611FFB"/>
    <w:rsid w:val="006320A8"/>
    <w:rsid w:val="006327DC"/>
    <w:rsid w:val="006351B3"/>
    <w:rsid w:val="00643FDD"/>
    <w:rsid w:val="00644B62"/>
    <w:rsid w:val="00645776"/>
    <w:rsid w:val="00656CA8"/>
    <w:rsid w:val="006705C4"/>
    <w:rsid w:val="00671CE5"/>
    <w:rsid w:val="00674594"/>
    <w:rsid w:val="00674A84"/>
    <w:rsid w:val="00683B8E"/>
    <w:rsid w:val="006859E7"/>
    <w:rsid w:val="0068747C"/>
    <w:rsid w:val="00687F7B"/>
    <w:rsid w:val="006950B1"/>
    <w:rsid w:val="006A2A3B"/>
    <w:rsid w:val="006A67A5"/>
    <w:rsid w:val="006B3B8E"/>
    <w:rsid w:val="006E2CBB"/>
    <w:rsid w:val="006E4632"/>
    <w:rsid w:val="006F6BF5"/>
    <w:rsid w:val="00700853"/>
    <w:rsid w:val="00712A61"/>
    <w:rsid w:val="00717B4E"/>
    <w:rsid w:val="00717D43"/>
    <w:rsid w:val="007362DC"/>
    <w:rsid w:val="00751A65"/>
    <w:rsid w:val="00753F7A"/>
    <w:rsid w:val="00771BBE"/>
    <w:rsid w:val="00783F68"/>
    <w:rsid w:val="007843D0"/>
    <w:rsid w:val="0078616D"/>
    <w:rsid w:val="00797609"/>
    <w:rsid w:val="007B4B82"/>
    <w:rsid w:val="007D093A"/>
    <w:rsid w:val="007D3AE8"/>
    <w:rsid w:val="007D630A"/>
    <w:rsid w:val="007E14E5"/>
    <w:rsid w:val="007E4C37"/>
    <w:rsid w:val="007F38A7"/>
    <w:rsid w:val="00806E1F"/>
    <w:rsid w:val="00816E62"/>
    <w:rsid w:val="008204A1"/>
    <w:rsid w:val="0082184F"/>
    <w:rsid w:val="0082229F"/>
    <w:rsid w:val="00824F95"/>
    <w:rsid w:val="00826623"/>
    <w:rsid w:val="00837EF1"/>
    <w:rsid w:val="00856754"/>
    <w:rsid w:val="008568A2"/>
    <w:rsid w:val="00860CC1"/>
    <w:rsid w:val="00876A1F"/>
    <w:rsid w:val="0088612B"/>
    <w:rsid w:val="0089456D"/>
    <w:rsid w:val="0089572D"/>
    <w:rsid w:val="00896423"/>
    <w:rsid w:val="008A0744"/>
    <w:rsid w:val="008A12EC"/>
    <w:rsid w:val="008A541B"/>
    <w:rsid w:val="008A6545"/>
    <w:rsid w:val="008B6EDD"/>
    <w:rsid w:val="008C011E"/>
    <w:rsid w:val="008D76F4"/>
    <w:rsid w:val="009061FF"/>
    <w:rsid w:val="0091131F"/>
    <w:rsid w:val="00913CF2"/>
    <w:rsid w:val="0092045A"/>
    <w:rsid w:val="0092385B"/>
    <w:rsid w:val="009276DA"/>
    <w:rsid w:val="00940138"/>
    <w:rsid w:val="00940172"/>
    <w:rsid w:val="00947317"/>
    <w:rsid w:val="00970B9B"/>
    <w:rsid w:val="00971EF3"/>
    <w:rsid w:val="009822CF"/>
    <w:rsid w:val="0098350F"/>
    <w:rsid w:val="00990E91"/>
    <w:rsid w:val="009916D8"/>
    <w:rsid w:val="00992C87"/>
    <w:rsid w:val="009A4564"/>
    <w:rsid w:val="009B3F0F"/>
    <w:rsid w:val="009D536B"/>
    <w:rsid w:val="009E212C"/>
    <w:rsid w:val="009E53B0"/>
    <w:rsid w:val="009E7A64"/>
    <w:rsid w:val="009F0A1A"/>
    <w:rsid w:val="009F3A34"/>
    <w:rsid w:val="009F5A4A"/>
    <w:rsid w:val="00A0219F"/>
    <w:rsid w:val="00A0298E"/>
    <w:rsid w:val="00A0792B"/>
    <w:rsid w:val="00A211AC"/>
    <w:rsid w:val="00A310C1"/>
    <w:rsid w:val="00A449A6"/>
    <w:rsid w:val="00A45768"/>
    <w:rsid w:val="00A4688A"/>
    <w:rsid w:val="00A4736F"/>
    <w:rsid w:val="00A50E48"/>
    <w:rsid w:val="00A51267"/>
    <w:rsid w:val="00A560EE"/>
    <w:rsid w:val="00A6249A"/>
    <w:rsid w:val="00A66B0C"/>
    <w:rsid w:val="00A74A24"/>
    <w:rsid w:val="00A80772"/>
    <w:rsid w:val="00A84B56"/>
    <w:rsid w:val="00AA4A10"/>
    <w:rsid w:val="00AB0670"/>
    <w:rsid w:val="00AB6A09"/>
    <w:rsid w:val="00AC4157"/>
    <w:rsid w:val="00AD005A"/>
    <w:rsid w:val="00AF4D5A"/>
    <w:rsid w:val="00AF6BDF"/>
    <w:rsid w:val="00B10816"/>
    <w:rsid w:val="00B126B8"/>
    <w:rsid w:val="00B12F59"/>
    <w:rsid w:val="00B36EF1"/>
    <w:rsid w:val="00B40A92"/>
    <w:rsid w:val="00B441FF"/>
    <w:rsid w:val="00B56AFF"/>
    <w:rsid w:val="00B66E64"/>
    <w:rsid w:val="00B9147C"/>
    <w:rsid w:val="00B93BDF"/>
    <w:rsid w:val="00B977D2"/>
    <w:rsid w:val="00BA45A1"/>
    <w:rsid w:val="00BE0FCC"/>
    <w:rsid w:val="00BF174C"/>
    <w:rsid w:val="00BF17A3"/>
    <w:rsid w:val="00BF6A95"/>
    <w:rsid w:val="00C075FF"/>
    <w:rsid w:val="00C25CCA"/>
    <w:rsid w:val="00C266E8"/>
    <w:rsid w:val="00C36AAC"/>
    <w:rsid w:val="00C421A5"/>
    <w:rsid w:val="00C444AA"/>
    <w:rsid w:val="00C45538"/>
    <w:rsid w:val="00C47E49"/>
    <w:rsid w:val="00C62428"/>
    <w:rsid w:val="00C63E5B"/>
    <w:rsid w:val="00C6697B"/>
    <w:rsid w:val="00C811CF"/>
    <w:rsid w:val="00C839D8"/>
    <w:rsid w:val="00C85D8D"/>
    <w:rsid w:val="00C916E3"/>
    <w:rsid w:val="00C9228A"/>
    <w:rsid w:val="00C971C6"/>
    <w:rsid w:val="00CA60A6"/>
    <w:rsid w:val="00CB06FC"/>
    <w:rsid w:val="00CC5681"/>
    <w:rsid w:val="00CC5E22"/>
    <w:rsid w:val="00CD6622"/>
    <w:rsid w:val="00CD6E54"/>
    <w:rsid w:val="00CE21E3"/>
    <w:rsid w:val="00CE325F"/>
    <w:rsid w:val="00CE7E32"/>
    <w:rsid w:val="00D04688"/>
    <w:rsid w:val="00D0526B"/>
    <w:rsid w:val="00D131E3"/>
    <w:rsid w:val="00D17690"/>
    <w:rsid w:val="00D2201F"/>
    <w:rsid w:val="00D237ED"/>
    <w:rsid w:val="00D30277"/>
    <w:rsid w:val="00D31AB0"/>
    <w:rsid w:val="00D34614"/>
    <w:rsid w:val="00D404CA"/>
    <w:rsid w:val="00D45A95"/>
    <w:rsid w:val="00D473B2"/>
    <w:rsid w:val="00D47762"/>
    <w:rsid w:val="00D47F56"/>
    <w:rsid w:val="00D5092F"/>
    <w:rsid w:val="00D54E59"/>
    <w:rsid w:val="00D579E4"/>
    <w:rsid w:val="00D61288"/>
    <w:rsid w:val="00D615FF"/>
    <w:rsid w:val="00D6577C"/>
    <w:rsid w:val="00D725C5"/>
    <w:rsid w:val="00D75368"/>
    <w:rsid w:val="00D84BBB"/>
    <w:rsid w:val="00D86193"/>
    <w:rsid w:val="00D903A8"/>
    <w:rsid w:val="00D93A08"/>
    <w:rsid w:val="00D962BA"/>
    <w:rsid w:val="00DA27BD"/>
    <w:rsid w:val="00DB2257"/>
    <w:rsid w:val="00DB2EA7"/>
    <w:rsid w:val="00DC2AF9"/>
    <w:rsid w:val="00DC41B7"/>
    <w:rsid w:val="00DD29B9"/>
    <w:rsid w:val="00DD77E7"/>
    <w:rsid w:val="00DE0F2F"/>
    <w:rsid w:val="00DE245A"/>
    <w:rsid w:val="00DE62D5"/>
    <w:rsid w:val="00E03CEF"/>
    <w:rsid w:val="00E040B8"/>
    <w:rsid w:val="00E064F5"/>
    <w:rsid w:val="00E0651D"/>
    <w:rsid w:val="00E074AC"/>
    <w:rsid w:val="00E14C43"/>
    <w:rsid w:val="00E20797"/>
    <w:rsid w:val="00E25624"/>
    <w:rsid w:val="00E261D0"/>
    <w:rsid w:val="00E337E7"/>
    <w:rsid w:val="00E36DD4"/>
    <w:rsid w:val="00E40865"/>
    <w:rsid w:val="00E44A0D"/>
    <w:rsid w:val="00E60720"/>
    <w:rsid w:val="00E6106B"/>
    <w:rsid w:val="00E614E0"/>
    <w:rsid w:val="00E63D59"/>
    <w:rsid w:val="00E74F0D"/>
    <w:rsid w:val="00E77583"/>
    <w:rsid w:val="00E879B1"/>
    <w:rsid w:val="00E92859"/>
    <w:rsid w:val="00E93199"/>
    <w:rsid w:val="00E93F8C"/>
    <w:rsid w:val="00E95AB8"/>
    <w:rsid w:val="00E95EEC"/>
    <w:rsid w:val="00EA1F59"/>
    <w:rsid w:val="00EA39AC"/>
    <w:rsid w:val="00EC71CC"/>
    <w:rsid w:val="00ED11F7"/>
    <w:rsid w:val="00ED121A"/>
    <w:rsid w:val="00ED38F5"/>
    <w:rsid w:val="00EE74E0"/>
    <w:rsid w:val="00EF5AD8"/>
    <w:rsid w:val="00F107BE"/>
    <w:rsid w:val="00F176DF"/>
    <w:rsid w:val="00F242DD"/>
    <w:rsid w:val="00F33322"/>
    <w:rsid w:val="00F60B9E"/>
    <w:rsid w:val="00F67284"/>
    <w:rsid w:val="00F80316"/>
    <w:rsid w:val="00F92139"/>
    <w:rsid w:val="00FA34BE"/>
    <w:rsid w:val="00FA3B0C"/>
    <w:rsid w:val="00FA6BA0"/>
    <w:rsid w:val="00FB130B"/>
    <w:rsid w:val="00FB54C3"/>
    <w:rsid w:val="00FB5CBF"/>
    <w:rsid w:val="00FC0911"/>
    <w:rsid w:val="00FD4092"/>
    <w:rsid w:val="00FE07C6"/>
    <w:rsid w:val="00FE729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4DF7"/>
  <w15:chartTrackingRefBased/>
  <w15:docId w15:val="{BAD3A607-DE41-4E3F-872A-0C874849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19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A0219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A0219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02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19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0219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0219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02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19F"/>
    <w:rPr>
      <w:rFonts w:eastAsiaTheme="majorEastAsia" w:cstheme="majorBidi"/>
      <w:color w:val="272727" w:themeColor="text1" w:themeTint="D8"/>
    </w:rPr>
  </w:style>
  <w:style w:type="paragraph" w:styleId="Title">
    <w:name w:val="Title"/>
    <w:basedOn w:val="Normal"/>
    <w:next w:val="Normal"/>
    <w:link w:val="TitleChar"/>
    <w:uiPriority w:val="10"/>
    <w:qFormat/>
    <w:rsid w:val="00A0219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0219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0219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0219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0219F"/>
    <w:pPr>
      <w:spacing w:before="160"/>
      <w:jc w:val="center"/>
    </w:pPr>
    <w:rPr>
      <w:i/>
      <w:iCs/>
      <w:color w:val="404040" w:themeColor="text1" w:themeTint="BF"/>
    </w:rPr>
  </w:style>
  <w:style w:type="character" w:customStyle="1" w:styleId="QuoteChar">
    <w:name w:val="Quote Char"/>
    <w:basedOn w:val="DefaultParagraphFont"/>
    <w:link w:val="Quote"/>
    <w:uiPriority w:val="29"/>
    <w:rsid w:val="00A0219F"/>
    <w:rPr>
      <w:i/>
      <w:iCs/>
      <w:color w:val="404040" w:themeColor="text1" w:themeTint="BF"/>
    </w:rPr>
  </w:style>
  <w:style w:type="paragraph" w:styleId="ListParagraph">
    <w:name w:val="List Paragraph"/>
    <w:basedOn w:val="Normal"/>
    <w:uiPriority w:val="34"/>
    <w:qFormat/>
    <w:rsid w:val="00A0219F"/>
    <w:pPr>
      <w:ind w:left="720"/>
      <w:contextualSpacing/>
    </w:pPr>
  </w:style>
  <w:style w:type="character" w:styleId="IntenseEmphasis">
    <w:name w:val="Intense Emphasis"/>
    <w:basedOn w:val="DefaultParagraphFont"/>
    <w:uiPriority w:val="21"/>
    <w:qFormat/>
    <w:rsid w:val="00A0219F"/>
    <w:rPr>
      <w:i/>
      <w:iCs/>
      <w:color w:val="0F4761" w:themeColor="accent1" w:themeShade="BF"/>
    </w:rPr>
  </w:style>
  <w:style w:type="paragraph" w:styleId="IntenseQuote">
    <w:name w:val="Intense Quote"/>
    <w:basedOn w:val="Normal"/>
    <w:next w:val="Normal"/>
    <w:link w:val="IntenseQuoteChar"/>
    <w:uiPriority w:val="30"/>
    <w:qFormat/>
    <w:rsid w:val="00A02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19F"/>
    <w:rPr>
      <w:i/>
      <w:iCs/>
      <w:color w:val="0F4761" w:themeColor="accent1" w:themeShade="BF"/>
    </w:rPr>
  </w:style>
  <w:style w:type="character" w:styleId="IntenseReference">
    <w:name w:val="Intense Reference"/>
    <w:basedOn w:val="DefaultParagraphFont"/>
    <w:uiPriority w:val="32"/>
    <w:qFormat/>
    <w:rsid w:val="00A0219F"/>
    <w:rPr>
      <w:b/>
      <w:bCs/>
      <w:smallCaps/>
      <w:color w:val="0F4761" w:themeColor="accent1" w:themeShade="BF"/>
      <w:spacing w:val="5"/>
    </w:rPr>
  </w:style>
  <w:style w:type="paragraph" w:styleId="NormalWeb">
    <w:name w:val="Normal (Web)"/>
    <w:basedOn w:val="Normal"/>
    <w:uiPriority w:val="99"/>
    <w:unhideWhenUsed/>
    <w:rsid w:val="0043173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226154"/>
    <w:rPr>
      <w:b/>
      <w:bCs/>
    </w:rPr>
  </w:style>
  <w:style w:type="character" w:customStyle="1" w:styleId="mx-05">
    <w:name w:val="mx-0.5"/>
    <w:basedOn w:val="DefaultParagraphFont"/>
    <w:rsid w:val="000D4766"/>
  </w:style>
  <w:style w:type="paragraph" w:styleId="Header">
    <w:name w:val="header"/>
    <w:basedOn w:val="Normal"/>
    <w:link w:val="HeaderChar"/>
    <w:uiPriority w:val="99"/>
    <w:unhideWhenUsed/>
    <w:rsid w:val="0041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C63"/>
  </w:style>
  <w:style w:type="paragraph" w:styleId="Footer">
    <w:name w:val="footer"/>
    <w:basedOn w:val="Normal"/>
    <w:link w:val="FooterChar"/>
    <w:uiPriority w:val="99"/>
    <w:unhideWhenUsed/>
    <w:rsid w:val="0041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C63"/>
  </w:style>
  <w:style w:type="paragraph" w:styleId="FootnoteText">
    <w:name w:val="footnote text"/>
    <w:basedOn w:val="Normal"/>
    <w:link w:val="FootnoteTextChar"/>
    <w:uiPriority w:val="99"/>
    <w:semiHidden/>
    <w:unhideWhenUsed/>
    <w:rsid w:val="0041176C"/>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41176C"/>
    <w:rPr>
      <w:sz w:val="20"/>
      <w:szCs w:val="18"/>
    </w:rPr>
  </w:style>
  <w:style w:type="character" w:styleId="FootnoteReference">
    <w:name w:val="footnote reference"/>
    <w:basedOn w:val="DefaultParagraphFont"/>
    <w:uiPriority w:val="99"/>
    <w:semiHidden/>
    <w:unhideWhenUsed/>
    <w:rsid w:val="0041176C"/>
    <w:rPr>
      <w:vertAlign w:val="superscript"/>
    </w:rPr>
  </w:style>
  <w:style w:type="character" w:styleId="Hyperlink">
    <w:name w:val="Hyperlink"/>
    <w:basedOn w:val="DefaultParagraphFont"/>
    <w:uiPriority w:val="99"/>
    <w:semiHidden/>
    <w:unhideWhenUsed/>
    <w:rsid w:val="00411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5763">
      <w:bodyDiv w:val="1"/>
      <w:marLeft w:val="0"/>
      <w:marRight w:val="0"/>
      <w:marTop w:val="0"/>
      <w:marBottom w:val="0"/>
      <w:divBdr>
        <w:top w:val="none" w:sz="0" w:space="0" w:color="auto"/>
        <w:left w:val="none" w:sz="0" w:space="0" w:color="auto"/>
        <w:bottom w:val="none" w:sz="0" w:space="0" w:color="auto"/>
        <w:right w:val="none" w:sz="0" w:space="0" w:color="auto"/>
      </w:divBdr>
      <w:divsChild>
        <w:div w:id="1631279214">
          <w:marLeft w:val="0"/>
          <w:marRight w:val="0"/>
          <w:marTop w:val="0"/>
          <w:marBottom w:val="0"/>
          <w:divBdr>
            <w:top w:val="none" w:sz="0" w:space="0" w:color="auto"/>
            <w:left w:val="none" w:sz="0" w:space="0" w:color="auto"/>
            <w:bottom w:val="none" w:sz="0" w:space="0" w:color="auto"/>
            <w:right w:val="none" w:sz="0" w:space="0" w:color="auto"/>
          </w:divBdr>
          <w:divsChild>
            <w:div w:id="12022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721">
      <w:bodyDiv w:val="1"/>
      <w:marLeft w:val="0"/>
      <w:marRight w:val="0"/>
      <w:marTop w:val="0"/>
      <w:marBottom w:val="0"/>
      <w:divBdr>
        <w:top w:val="none" w:sz="0" w:space="0" w:color="auto"/>
        <w:left w:val="none" w:sz="0" w:space="0" w:color="auto"/>
        <w:bottom w:val="none" w:sz="0" w:space="0" w:color="auto"/>
        <w:right w:val="none" w:sz="0" w:space="0" w:color="auto"/>
      </w:divBdr>
    </w:div>
    <w:div w:id="791243516">
      <w:bodyDiv w:val="1"/>
      <w:marLeft w:val="0"/>
      <w:marRight w:val="0"/>
      <w:marTop w:val="0"/>
      <w:marBottom w:val="0"/>
      <w:divBdr>
        <w:top w:val="none" w:sz="0" w:space="0" w:color="auto"/>
        <w:left w:val="none" w:sz="0" w:space="0" w:color="auto"/>
        <w:bottom w:val="none" w:sz="0" w:space="0" w:color="auto"/>
        <w:right w:val="none" w:sz="0" w:space="0" w:color="auto"/>
      </w:divBdr>
      <w:divsChild>
        <w:div w:id="269556562">
          <w:marLeft w:val="0"/>
          <w:marRight w:val="0"/>
          <w:marTop w:val="0"/>
          <w:marBottom w:val="0"/>
          <w:divBdr>
            <w:top w:val="none" w:sz="0" w:space="0" w:color="auto"/>
            <w:left w:val="none" w:sz="0" w:space="0" w:color="auto"/>
            <w:bottom w:val="none" w:sz="0" w:space="0" w:color="auto"/>
            <w:right w:val="none" w:sz="0" w:space="0" w:color="auto"/>
          </w:divBdr>
          <w:divsChild>
            <w:div w:id="13954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6154">
      <w:bodyDiv w:val="1"/>
      <w:marLeft w:val="0"/>
      <w:marRight w:val="0"/>
      <w:marTop w:val="0"/>
      <w:marBottom w:val="0"/>
      <w:divBdr>
        <w:top w:val="none" w:sz="0" w:space="0" w:color="auto"/>
        <w:left w:val="none" w:sz="0" w:space="0" w:color="auto"/>
        <w:bottom w:val="none" w:sz="0" w:space="0" w:color="auto"/>
        <w:right w:val="none" w:sz="0" w:space="0" w:color="auto"/>
      </w:divBdr>
      <w:divsChild>
        <w:div w:id="1350376938">
          <w:marLeft w:val="0"/>
          <w:marRight w:val="0"/>
          <w:marTop w:val="0"/>
          <w:marBottom w:val="0"/>
          <w:divBdr>
            <w:top w:val="none" w:sz="0" w:space="0" w:color="auto"/>
            <w:left w:val="none" w:sz="0" w:space="0" w:color="auto"/>
            <w:bottom w:val="none" w:sz="0" w:space="0" w:color="auto"/>
            <w:right w:val="none" w:sz="0" w:space="0" w:color="auto"/>
          </w:divBdr>
          <w:divsChild>
            <w:div w:id="6950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7505">
      <w:bodyDiv w:val="1"/>
      <w:marLeft w:val="0"/>
      <w:marRight w:val="0"/>
      <w:marTop w:val="0"/>
      <w:marBottom w:val="0"/>
      <w:divBdr>
        <w:top w:val="none" w:sz="0" w:space="0" w:color="auto"/>
        <w:left w:val="none" w:sz="0" w:space="0" w:color="auto"/>
        <w:bottom w:val="none" w:sz="0" w:space="0" w:color="auto"/>
        <w:right w:val="none" w:sz="0" w:space="0" w:color="auto"/>
      </w:divBdr>
      <w:divsChild>
        <w:div w:id="2118865073">
          <w:marLeft w:val="0"/>
          <w:marRight w:val="0"/>
          <w:marTop w:val="0"/>
          <w:marBottom w:val="0"/>
          <w:divBdr>
            <w:top w:val="none" w:sz="0" w:space="0" w:color="auto"/>
            <w:left w:val="none" w:sz="0" w:space="0" w:color="auto"/>
            <w:bottom w:val="none" w:sz="0" w:space="0" w:color="auto"/>
            <w:right w:val="none" w:sz="0" w:space="0" w:color="auto"/>
          </w:divBdr>
          <w:divsChild>
            <w:div w:id="20657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2696">
      <w:bodyDiv w:val="1"/>
      <w:marLeft w:val="0"/>
      <w:marRight w:val="0"/>
      <w:marTop w:val="0"/>
      <w:marBottom w:val="0"/>
      <w:divBdr>
        <w:top w:val="none" w:sz="0" w:space="0" w:color="auto"/>
        <w:left w:val="none" w:sz="0" w:space="0" w:color="auto"/>
        <w:bottom w:val="none" w:sz="0" w:space="0" w:color="auto"/>
        <w:right w:val="none" w:sz="0" w:space="0" w:color="auto"/>
      </w:divBdr>
    </w:div>
    <w:div w:id="1203639119">
      <w:bodyDiv w:val="1"/>
      <w:marLeft w:val="0"/>
      <w:marRight w:val="0"/>
      <w:marTop w:val="0"/>
      <w:marBottom w:val="0"/>
      <w:divBdr>
        <w:top w:val="none" w:sz="0" w:space="0" w:color="auto"/>
        <w:left w:val="none" w:sz="0" w:space="0" w:color="auto"/>
        <w:bottom w:val="none" w:sz="0" w:space="0" w:color="auto"/>
        <w:right w:val="none" w:sz="0" w:space="0" w:color="auto"/>
      </w:divBdr>
    </w:div>
    <w:div w:id="1713528997">
      <w:bodyDiv w:val="1"/>
      <w:marLeft w:val="0"/>
      <w:marRight w:val="0"/>
      <w:marTop w:val="0"/>
      <w:marBottom w:val="0"/>
      <w:divBdr>
        <w:top w:val="none" w:sz="0" w:space="0" w:color="auto"/>
        <w:left w:val="none" w:sz="0" w:space="0" w:color="auto"/>
        <w:bottom w:val="none" w:sz="0" w:space="0" w:color="auto"/>
        <w:right w:val="none" w:sz="0" w:space="0" w:color="auto"/>
      </w:divBdr>
      <w:divsChild>
        <w:div w:id="1004167534">
          <w:marLeft w:val="0"/>
          <w:marRight w:val="0"/>
          <w:marTop w:val="0"/>
          <w:marBottom w:val="0"/>
          <w:divBdr>
            <w:top w:val="none" w:sz="0" w:space="0" w:color="auto"/>
            <w:left w:val="none" w:sz="0" w:space="0" w:color="auto"/>
            <w:bottom w:val="none" w:sz="0" w:space="0" w:color="auto"/>
            <w:right w:val="none" w:sz="0" w:space="0" w:color="auto"/>
          </w:divBdr>
          <w:divsChild>
            <w:div w:id="689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5728">
      <w:bodyDiv w:val="1"/>
      <w:marLeft w:val="0"/>
      <w:marRight w:val="0"/>
      <w:marTop w:val="0"/>
      <w:marBottom w:val="0"/>
      <w:divBdr>
        <w:top w:val="none" w:sz="0" w:space="0" w:color="auto"/>
        <w:left w:val="none" w:sz="0" w:space="0" w:color="auto"/>
        <w:bottom w:val="none" w:sz="0" w:space="0" w:color="auto"/>
        <w:right w:val="none" w:sz="0" w:space="0" w:color="auto"/>
      </w:divBdr>
      <w:divsChild>
        <w:div w:id="1734083300">
          <w:marLeft w:val="0"/>
          <w:marRight w:val="0"/>
          <w:marTop w:val="0"/>
          <w:marBottom w:val="0"/>
          <w:divBdr>
            <w:top w:val="none" w:sz="0" w:space="0" w:color="auto"/>
            <w:left w:val="none" w:sz="0" w:space="0" w:color="auto"/>
            <w:bottom w:val="none" w:sz="0" w:space="0" w:color="auto"/>
            <w:right w:val="none" w:sz="0" w:space="0" w:color="auto"/>
          </w:divBdr>
          <w:divsChild>
            <w:div w:id="2949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130">
      <w:bodyDiv w:val="1"/>
      <w:marLeft w:val="0"/>
      <w:marRight w:val="0"/>
      <w:marTop w:val="0"/>
      <w:marBottom w:val="0"/>
      <w:divBdr>
        <w:top w:val="none" w:sz="0" w:space="0" w:color="auto"/>
        <w:left w:val="none" w:sz="0" w:space="0" w:color="auto"/>
        <w:bottom w:val="none" w:sz="0" w:space="0" w:color="auto"/>
        <w:right w:val="none" w:sz="0" w:space="0" w:color="auto"/>
      </w:divBdr>
    </w:div>
    <w:div w:id="1970167467">
      <w:bodyDiv w:val="1"/>
      <w:marLeft w:val="0"/>
      <w:marRight w:val="0"/>
      <w:marTop w:val="0"/>
      <w:marBottom w:val="0"/>
      <w:divBdr>
        <w:top w:val="none" w:sz="0" w:space="0" w:color="auto"/>
        <w:left w:val="none" w:sz="0" w:space="0" w:color="auto"/>
        <w:bottom w:val="none" w:sz="0" w:space="0" w:color="auto"/>
        <w:right w:val="none" w:sz="0" w:space="0" w:color="auto"/>
      </w:divBdr>
      <w:divsChild>
        <w:div w:id="876284937">
          <w:marLeft w:val="0"/>
          <w:marRight w:val="0"/>
          <w:marTop w:val="0"/>
          <w:marBottom w:val="0"/>
          <w:divBdr>
            <w:top w:val="none" w:sz="0" w:space="0" w:color="auto"/>
            <w:left w:val="none" w:sz="0" w:space="0" w:color="auto"/>
            <w:bottom w:val="none" w:sz="0" w:space="0" w:color="auto"/>
            <w:right w:val="none" w:sz="0" w:space="0" w:color="auto"/>
          </w:divBdr>
          <w:divsChild>
            <w:div w:id="362554682">
              <w:marLeft w:val="0"/>
              <w:marRight w:val="0"/>
              <w:marTop w:val="0"/>
              <w:marBottom w:val="0"/>
              <w:divBdr>
                <w:top w:val="none" w:sz="0" w:space="0" w:color="auto"/>
                <w:left w:val="none" w:sz="0" w:space="0" w:color="auto"/>
                <w:bottom w:val="none" w:sz="0" w:space="0" w:color="auto"/>
                <w:right w:val="none" w:sz="0" w:space="0" w:color="auto"/>
              </w:divBdr>
              <w:divsChild>
                <w:div w:id="1623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2906">
          <w:marLeft w:val="0"/>
          <w:marRight w:val="0"/>
          <w:marTop w:val="0"/>
          <w:marBottom w:val="0"/>
          <w:divBdr>
            <w:top w:val="none" w:sz="0" w:space="0" w:color="auto"/>
            <w:left w:val="none" w:sz="0" w:space="0" w:color="auto"/>
            <w:bottom w:val="none" w:sz="0" w:space="0" w:color="auto"/>
            <w:right w:val="none" w:sz="0" w:space="0" w:color="auto"/>
          </w:divBdr>
          <w:divsChild>
            <w:div w:id="20590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log.thegovlab.org/selected-readings-on-indigenous-data-sovereignty?form=MG0AV3" TargetMode="External"/><Relationship Id="rId13" Type="http://schemas.openxmlformats.org/officeDocument/2006/relationships/hyperlink" Target="https://www.ohchr.org/en/indigenous-peoples/un-declaration-rights-indigenous-peoples" TargetMode="External"/><Relationship Id="rId18" Type="http://schemas.openxmlformats.org/officeDocument/2006/relationships/hyperlink" Target="https://www.gida-global.org/?form=MG0AV3" TargetMode="External"/><Relationship Id="rId3" Type="http://schemas.openxmlformats.org/officeDocument/2006/relationships/hyperlink" Target="https://journals.sagepub.com/doi/pdf/10.1177/0020731420946588" TargetMode="External"/><Relationship Id="rId7" Type="http://schemas.openxmlformats.org/officeDocument/2006/relationships/hyperlink" Target="https://blog.thegovlab.org/selected-readings-on-indigenous-data-sovereignty?form=MG0AV3" TargetMode="External"/><Relationship Id="rId12" Type="http://schemas.openxmlformats.org/officeDocument/2006/relationships/hyperlink" Target="https://www.wipo.int/edocs/pubdocs/en/wipo-pub-rn2023-5-6-en-intellectual-property-and-traditional-medical-knowledge.pdf?form=MG0AV3" TargetMode="External"/><Relationship Id="rId17" Type="http://schemas.openxmlformats.org/officeDocument/2006/relationships/hyperlink" Target="https://giswatch.org/en/internet-governance-civil-society-participation-internet-rights/are-we-missing-anyone-indigenous?form=MG0AV3" TargetMode="External"/><Relationship Id="rId2" Type="http://schemas.openxmlformats.org/officeDocument/2006/relationships/hyperlink" Target="https://www.iasp-pain.org/resources/fact-sheets/traditional-medicine-practice-across-asia-examples-of-non-western-approaches-2/?form=MG0AV3" TargetMode="External"/><Relationship Id="rId16" Type="http://schemas.openxmlformats.org/officeDocument/2006/relationships/hyperlink" Target="https://www.rd-alliance.org/sites/default/files/CARE%20Principles%20for%20Indigenous%20Data%20Governance_FINAL_Sept%2006%202019.pdf?form=MG0AV3" TargetMode="External"/><Relationship Id="rId20" Type="http://schemas.openxmlformats.org/officeDocument/2006/relationships/hyperlink" Target="https://data.opendevelopmentmekong.net/my/library_record/asian-framework-on-indigenous-knowledge-and-data-sovereignty?form=MG0AV3" TargetMode="External"/><Relationship Id="rId1" Type="http://schemas.openxmlformats.org/officeDocument/2006/relationships/hyperlink" Target="https://journals.plos.org/globalpublichealth/article?id=10.1371%2Fjournal.pgph.0001736&amp;form=MG0AV3" TargetMode="External"/><Relationship Id="rId6" Type="http://schemas.openxmlformats.org/officeDocument/2006/relationships/hyperlink" Target="https://journals.sagepub.com/doi/pdf/10.1177/0020731420946588?form=MG0AV3" TargetMode="External"/><Relationship Id="rId11" Type="http://schemas.openxmlformats.org/officeDocument/2006/relationships/hyperlink" Target="https://www.wipo.int/edocs/pubdocs/en/wipo-pub-rn2023-5-6-en-intellectual-property-and-traditional-medical-knowledge.pdf?form=MG0AV3" TargetMode="External"/><Relationship Id="rId5" Type="http://schemas.openxmlformats.org/officeDocument/2006/relationships/hyperlink" Target="https://link.springer.com/article/10.1007/s40615-023-01810-3" TargetMode="External"/><Relationship Id="rId15" Type="http://schemas.openxmlformats.org/officeDocument/2006/relationships/hyperlink" Target="https://ardc.edu.au/resource/the-care-principles/?form=MG0AV3" TargetMode="External"/><Relationship Id="rId10" Type="http://schemas.openxmlformats.org/officeDocument/2006/relationships/hyperlink" Target="https://www.wipo.int/edocs/pubdocs/en/wipo-pub-rn2023-5-6-en-intellectual-property-and-traditional-medical-knowledge.pdf?form=MG0AV3" TargetMode="External"/><Relationship Id="rId19" Type="http://schemas.openxmlformats.org/officeDocument/2006/relationships/hyperlink" Target="https://www.gida-global.org/purpose?form=MG0AV3" TargetMode="External"/><Relationship Id="rId4" Type="http://schemas.openxmlformats.org/officeDocument/2006/relationships/hyperlink" Target="https://www.nature.com/articles/d41586-024-03640-7" TargetMode="External"/><Relationship Id="rId9" Type="http://schemas.openxmlformats.org/officeDocument/2006/relationships/hyperlink" Target="https://news.un.org/en/story/2024/05/1150231?form=MG0AV3" TargetMode="External"/><Relationship Id="rId14" Type="http://schemas.openxmlformats.org/officeDocument/2006/relationships/hyperlink" Target="https://www.uts.edu.au/sites/default/files/JIHLBP8_11_07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D8E1-3C7E-4016-9144-D1AFEE88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 Rijal</dc:creator>
  <cp:keywords/>
  <dc:description/>
  <cp:lastModifiedBy>Nirmal Rijal</cp:lastModifiedBy>
  <cp:revision>378</cp:revision>
  <dcterms:created xsi:type="dcterms:W3CDTF">2024-11-28T10:05:00Z</dcterms:created>
  <dcterms:modified xsi:type="dcterms:W3CDTF">2024-11-29T10:58:00Z</dcterms:modified>
</cp:coreProperties>
</file>